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5C2BF">
      <w:pPr>
        <w:spacing w:line="600" w:lineRule="exact"/>
        <w:rPr>
          <w:rFonts w:hint="eastAsia" w:ascii="方正公文小标宋" w:hAnsi="方正公文小标宋" w:eastAsia="方正公文小标宋" w:cs="方正公文小标宋"/>
          <w:color w:val="auto"/>
          <w:sz w:val="44"/>
          <w:szCs w:val="44"/>
          <w:highlight w:val="none"/>
        </w:rPr>
      </w:pPr>
    </w:p>
    <w:p w14:paraId="0C010B83">
      <w:pPr>
        <w:spacing w:line="1200" w:lineRule="exact"/>
        <w:jc w:val="distribute"/>
        <w:rPr>
          <w:rFonts w:hint="eastAsia" w:ascii="方正公文小标宋" w:hAnsi="方正公文小标宋" w:eastAsia="方正公文小标宋" w:cs="方正公文小标宋"/>
          <w:color w:val="auto"/>
          <w:sz w:val="52"/>
          <w:szCs w:val="52"/>
          <w:highlight w:val="none"/>
        </w:rPr>
      </w:pPr>
    </w:p>
    <w:p w14:paraId="18F0509B">
      <w:pPr>
        <w:spacing w:line="1200" w:lineRule="exact"/>
        <w:jc w:val="distribute"/>
        <w:rPr>
          <w:rFonts w:hint="eastAsia" w:ascii="方正公文小标宋" w:hAnsi="方正公文小标宋" w:eastAsia="方正公文小标宋" w:cs="方正公文小标宋"/>
          <w:color w:val="auto"/>
          <w:sz w:val="52"/>
          <w:szCs w:val="52"/>
          <w:highlight w:val="none"/>
        </w:rPr>
      </w:pPr>
    </w:p>
    <w:p w14:paraId="13F3FA1D">
      <w:pPr>
        <w:spacing w:line="1200" w:lineRule="exact"/>
        <w:jc w:val="distribute"/>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永州市汽车后市场产业运营合作</w:t>
      </w:r>
    </w:p>
    <w:p w14:paraId="26BD5367">
      <w:pPr>
        <w:spacing w:line="1200" w:lineRule="exact"/>
        <w:jc w:val="center"/>
        <w:rPr>
          <w:rFonts w:hint="eastAsia" w:ascii="黑体" w:hAnsi="黑体" w:eastAsia="黑体" w:cs="黑体"/>
          <w:b/>
          <w:bCs/>
          <w:color w:val="auto"/>
          <w:sz w:val="52"/>
          <w:szCs w:val="52"/>
          <w:highlight w:val="none"/>
        </w:rPr>
      </w:pPr>
    </w:p>
    <w:p w14:paraId="62C3DB3A">
      <w:pPr>
        <w:spacing w:line="1200" w:lineRule="exact"/>
        <w:jc w:val="center"/>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val="en-US" w:eastAsia="zh-CN"/>
        </w:rPr>
        <w:t>意向</w:t>
      </w:r>
      <w:r>
        <w:rPr>
          <w:rFonts w:hint="eastAsia" w:ascii="黑体" w:hAnsi="黑体" w:eastAsia="黑体" w:cs="黑体"/>
          <w:b/>
          <w:bCs/>
          <w:color w:val="auto"/>
          <w:sz w:val="52"/>
          <w:szCs w:val="52"/>
          <w:highlight w:val="none"/>
        </w:rPr>
        <w:t>协议</w:t>
      </w:r>
    </w:p>
    <w:p w14:paraId="7A40FD03">
      <w:pPr>
        <w:spacing w:line="1200" w:lineRule="exact"/>
        <w:jc w:val="center"/>
        <w:rPr>
          <w:rFonts w:hint="eastAsia" w:ascii="方正公文小标宋" w:hAnsi="方正公文小标宋" w:eastAsia="方正公文小标宋" w:cs="方正公文小标宋"/>
          <w:color w:val="auto"/>
          <w:sz w:val="52"/>
          <w:szCs w:val="52"/>
          <w:highlight w:val="none"/>
        </w:rPr>
      </w:pPr>
    </w:p>
    <w:p w14:paraId="16D1C093">
      <w:pPr>
        <w:spacing w:line="1200" w:lineRule="exact"/>
        <w:jc w:val="center"/>
        <w:rPr>
          <w:rFonts w:hint="eastAsia" w:ascii="方正公文小标宋" w:hAnsi="方正公文小标宋" w:eastAsia="方正公文小标宋" w:cs="方正公文小标宋"/>
          <w:color w:val="auto"/>
          <w:sz w:val="52"/>
          <w:szCs w:val="52"/>
          <w:highlight w:val="none"/>
        </w:rPr>
      </w:pPr>
    </w:p>
    <w:p w14:paraId="6EF5D460">
      <w:pPr>
        <w:spacing w:line="1200" w:lineRule="exact"/>
        <w:jc w:val="center"/>
        <w:rPr>
          <w:rFonts w:hint="eastAsia" w:ascii="方正公文小标宋" w:hAnsi="方正公文小标宋" w:eastAsia="方正公文小标宋" w:cs="方正公文小标宋"/>
          <w:color w:val="auto"/>
          <w:sz w:val="52"/>
          <w:szCs w:val="52"/>
          <w:highlight w:val="none"/>
        </w:rPr>
      </w:pPr>
    </w:p>
    <w:p w14:paraId="1004E5FC">
      <w:pPr>
        <w:spacing w:line="1200" w:lineRule="exact"/>
        <w:jc w:val="center"/>
        <w:rPr>
          <w:rFonts w:hint="eastAsia" w:ascii="方正公文小标宋" w:hAnsi="方正公文小标宋" w:eastAsia="方正公文小标宋" w:cs="方正公文小标宋"/>
          <w:color w:val="auto"/>
          <w:sz w:val="52"/>
          <w:szCs w:val="52"/>
          <w:highlight w:val="none"/>
        </w:rPr>
      </w:pPr>
    </w:p>
    <w:p w14:paraId="31561F28">
      <w:pPr>
        <w:spacing w:line="600" w:lineRule="exact"/>
        <w:jc w:val="center"/>
        <w:rPr>
          <w:rFonts w:hint="eastAsia" w:ascii="方正公文小标宋" w:hAnsi="方正公文小标宋" w:eastAsia="方正公文小标宋" w:cs="方正公文小标宋"/>
          <w:color w:val="auto"/>
          <w:sz w:val="44"/>
          <w:szCs w:val="44"/>
          <w:highlight w:val="none"/>
        </w:rPr>
      </w:pPr>
    </w:p>
    <w:p w14:paraId="7389FD22">
      <w:pPr>
        <w:spacing w:line="600" w:lineRule="exact"/>
        <w:jc w:val="center"/>
        <w:rPr>
          <w:rFonts w:hint="eastAsia" w:ascii="方正公文小标宋" w:hAnsi="方正公文小标宋" w:eastAsia="方正公文小标宋" w:cs="方正公文小标宋"/>
          <w:color w:val="auto"/>
          <w:sz w:val="44"/>
          <w:szCs w:val="44"/>
          <w:highlight w:val="none"/>
        </w:rPr>
      </w:pPr>
    </w:p>
    <w:p w14:paraId="696D6F5C">
      <w:pPr>
        <w:spacing w:line="600" w:lineRule="exact"/>
        <w:jc w:val="center"/>
        <w:rPr>
          <w:rFonts w:hint="eastAsia" w:ascii="方正公文小标宋" w:hAnsi="方正公文小标宋" w:eastAsia="方正公文小标宋" w:cs="方正公文小标宋"/>
          <w:color w:val="auto"/>
          <w:sz w:val="44"/>
          <w:szCs w:val="44"/>
          <w:highlight w:val="none"/>
        </w:rPr>
      </w:pPr>
    </w:p>
    <w:p w14:paraId="18C62AB5">
      <w:pPr>
        <w:spacing w:line="600" w:lineRule="exact"/>
        <w:jc w:val="center"/>
        <w:rPr>
          <w:rFonts w:hint="eastAsia" w:ascii="方正公文小标宋" w:hAnsi="方正公文小标宋" w:eastAsia="方正公文小标宋" w:cs="方正公文小标宋"/>
          <w:color w:val="auto"/>
          <w:sz w:val="44"/>
          <w:szCs w:val="44"/>
          <w:highlight w:val="none"/>
        </w:rPr>
      </w:pPr>
    </w:p>
    <w:p w14:paraId="125D1F48">
      <w:pPr>
        <w:spacing w:line="600" w:lineRule="exact"/>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永州市汽车后市场产业运营合作</w:t>
      </w:r>
      <w:r>
        <w:rPr>
          <w:rFonts w:hint="eastAsia" w:ascii="黑体" w:hAnsi="黑体" w:eastAsia="黑体" w:cs="黑体"/>
          <w:b/>
          <w:bCs/>
          <w:color w:val="auto"/>
          <w:sz w:val="44"/>
          <w:szCs w:val="44"/>
          <w:highlight w:val="none"/>
          <w:lang w:val="en-US" w:eastAsia="zh-CN"/>
        </w:rPr>
        <w:t>意向</w:t>
      </w:r>
      <w:r>
        <w:rPr>
          <w:rFonts w:hint="eastAsia" w:ascii="黑体" w:hAnsi="黑体" w:eastAsia="黑体" w:cs="黑体"/>
          <w:b/>
          <w:bCs/>
          <w:color w:val="auto"/>
          <w:sz w:val="44"/>
          <w:szCs w:val="44"/>
          <w:highlight w:val="none"/>
        </w:rPr>
        <w:t>协议</w:t>
      </w:r>
    </w:p>
    <w:p w14:paraId="67C45013">
      <w:pPr>
        <w:spacing w:line="600" w:lineRule="exact"/>
        <w:jc w:val="center"/>
        <w:rPr>
          <w:rFonts w:hint="eastAsia" w:ascii="方正公文小标宋" w:hAnsi="方正公文小标宋" w:eastAsia="方正公文小标宋" w:cs="方正公文小标宋"/>
          <w:color w:val="auto"/>
          <w:sz w:val="44"/>
          <w:szCs w:val="44"/>
          <w:highlight w:val="none"/>
        </w:rPr>
      </w:pPr>
    </w:p>
    <w:p w14:paraId="4E390720">
      <w:pPr>
        <w:spacing w:line="600" w:lineRule="exact"/>
        <w:jc w:val="center"/>
        <w:rPr>
          <w:rFonts w:hint="eastAsia" w:ascii="方正公文小标宋" w:hAnsi="方正公文小标宋" w:eastAsia="方正公文小标宋" w:cs="方正公文小标宋"/>
          <w:color w:val="auto"/>
          <w:sz w:val="44"/>
          <w:szCs w:val="44"/>
          <w:highlight w:val="none"/>
        </w:rPr>
      </w:pPr>
    </w:p>
    <w:p w14:paraId="46AFAC7F">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甲方（国有资本方）：永州市城创置业有限公司</w:t>
      </w:r>
    </w:p>
    <w:p w14:paraId="46105A80">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统一社会信用代码：________________________</w:t>
      </w:r>
    </w:p>
    <w:p w14:paraId="65715007">
      <w:pPr>
        <w:spacing w:line="600" w:lineRule="exact"/>
        <w:rPr>
          <w:rFonts w:hint="eastAsia" w:ascii="仿宋" w:hAnsi="仿宋" w:eastAsia="仿宋" w:cs="仿宋"/>
          <w:color w:val="auto"/>
          <w:sz w:val="32"/>
          <w:szCs w:val="32"/>
          <w:highlight w:val="none"/>
          <w:u w:val="dash"/>
        </w:rPr>
      </w:pPr>
      <w:r>
        <w:rPr>
          <w:rFonts w:hint="eastAsia" w:ascii="仿宋" w:hAnsi="仿宋" w:eastAsia="仿宋" w:cs="仿宋"/>
          <w:color w:val="auto"/>
          <w:sz w:val="32"/>
          <w:szCs w:val="32"/>
          <w:highlight w:val="none"/>
        </w:rPr>
        <w:t>注册地址：</w:t>
      </w:r>
      <w:r>
        <w:rPr>
          <w:rFonts w:hint="eastAsia" w:ascii="仿宋" w:hAnsi="仿宋" w:eastAsia="仿宋" w:cs="仿宋"/>
          <w:color w:val="auto"/>
          <w:sz w:val="32"/>
          <w:szCs w:val="32"/>
          <w:highlight w:val="none"/>
          <w:u w:val="dash"/>
        </w:rPr>
        <w:t>湖南省永州市冷水滩区菱角山街道潇湘丽景6栋1单元301号商铺</w:t>
      </w:r>
    </w:p>
    <w:p w14:paraId="02E96B5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法定代表人：冯桂志</w:t>
      </w:r>
    </w:p>
    <w:p w14:paraId="7DB380A2">
      <w:pPr>
        <w:spacing w:line="600" w:lineRule="exact"/>
        <w:rPr>
          <w:rFonts w:hint="eastAsia" w:ascii="仿宋" w:hAnsi="仿宋" w:eastAsia="仿宋" w:cs="仿宋"/>
          <w:color w:val="auto"/>
          <w:sz w:val="32"/>
          <w:szCs w:val="32"/>
          <w:highlight w:val="none"/>
        </w:rPr>
      </w:pPr>
    </w:p>
    <w:p w14:paraId="4530FA3B">
      <w:pPr>
        <w:spacing w:line="600" w:lineRule="exac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乙方（社会资本方）：</w:t>
      </w:r>
      <w:r>
        <w:rPr>
          <w:rFonts w:hint="eastAsia" w:ascii="仿宋" w:hAnsi="仿宋" w:eastAsia="仿宋" w:cs="仿宋"/>
          <w:color w:val="auto"/>
          <w:sz w:val="32"/>
          <w:szCs w:val="32"/>
          <w:highlight w:val="none"/>
          <w:u w:val="single"/>
        </w:rPr>
        <w:t>有限公司</w:t>
      </w:r>
    </w:p>
    <w:p w14:paraId="1F484FE0">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统一社会信用代码：</w:t>
      </w:r>
    </w:p>
    <w:p w14:paraId="20DB61D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注册地址：________________________</w:t>
      </w:r>
    </w:p>
    <w:p w14:paraId="282E3737">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法定代表人：________________________</w:t>
      </w:r>
    </w:p>
    <w:p w14:paraId="0CC9DB1A">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（若乙方为联合体，另列明联合体成员方：有限公司</w:t>
      </w:r>
    </w:p>
    <w:p w14:paraId="0A913278">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统一社会信用代码：</w:t>
      </w:r>
    </w:p>
    <w:p w14:paraId="1005CC4E">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注册地址：________________________</w:t>
      </w:r>
    </w:p>
    <w:p w14:paraId="195BB3ED">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法定代表人：______________________     以下简称“联合体成员方”，乙方与联合体成员方合称“乙方”）</w:t>
      </w:r>
    </w:p>
    <w:p w14:paraId="602EA864">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鉴于甲方为永州市城发集团下属国有全资子公司，具备政府平台资源优势和融资优势；乙方具备汽车后市场产业资源整合、运营、技术、资金等核心能力，双方本着平等互利、优势互补、风险共担、合作共赢的原则，依据《中华人民共和国公司法》《中华人民共和国民法典》等法律法规，就共同出资设立合资公司、运营永州市汽车后市场相关项目，达成如下协议，以资共同信守。</w:t>
      </w:r>
    </w:p>
    <w:p w14:paraId="090958D3">
      <w:pPr>
        <w:spacing w:line="600" w:lineRule="exact"/>
        <w:rPr>
          <w:rFonts w:hint="eastAsia" w:ascii="仿宋" w:hAnsi="仿宋" w:eastAsia="仿宋" w:cs="仿宋"/>
          <w:color w:val="auto"/>
          <w:sz w:val="32"/>
          <w:szCs w:val="32"/>
          <w:highlight w:val="none"/>
        </w:rPr>
      </w:pPr>
    </w:p>
    <w:p w14:paraId="4CCF7C45">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第一条 合资公司基本信息</w:t>
      </w:r>
    </w:p>
    <w:p w14:paraId="75AD8966">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1.1公司名称：</w:t>
      </w:r>
      <w:r>
        <w:rPr>
          <w:rFonts w:hint="eastAsia" w:ascii="仿宋" w:hAnsi="仿宋" w:eastAsia="仿宋" w:cs="仿宋"/>
          <w:color w:val="auto"/>
          <w:sz w:val="32"/>
          <w:szCs w:val="32"/>
          <w:highlight w:val="none"/>
          <w:u w:val="single"/>
        </w:rPr>
        <w:t>***********公司</w:t>
      </w:r>
      <w:r>
        <w:rPr>
          <w:rFonts w:hint="eastAsia" w:ascii="仿宋" w:hAnsi="仿宋" w:eastAsia="仿宋" w:cs="仿宋"/>
          <w:color w:val="auto"/>
          <w:sz w:val="32"/>
          <w:szCs w:val="32"/>
          <w:highlight w:val="none"/>
        </w:rPr>
        <w:t>（最终以市场监督管理部门核准登记为准，以下简称“合资公司”）；</w:t>
      </w:r>
    </w:p>
    <w:p w14:paraId="3969AFF1">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1.2公司类型：有限责任公司；</w:t>
      </w:r>
    </w:p>
    <w:p w14:paraId="5C98B01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1.3注册地址：湖南省永州市冷水滩区_____________（最终以工商登记为准）；</w:t>
      </w:r>
    </w:p>
    <w:p w14:paraId="44E51A6D">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1.4董事长/法定代表人：由</w:t>
      </w:r>
      <w:r>
        <w:rPr>
          <w:rFonts w:hint="eastAsia" w:ascii="仿宋" w:hAnsi="仿宋" w:eastAsia="仿宋" w:cs="仿宋"/>
          <w:color w:val="auto"/>
          <w:sz w:val="32"/>
          <w:szCs w:val="32"/>
          <w:highlight w:val="none"/>
          <w:u w:val="single"/>
        </w:rPr>
        <w:t>甲方</w:t>
      </w:r>
      <w:r>
        <w:rPr>
          <w:rFonts w:hint="eastAsia" w:ascii="仿宋" w:hAnsi="仿宋" w:eastAsia="仿宋" w:cs="仿宋"/>
          <w:color w:val="auto"/>
          <w:sz w:val="32"/>
          <w:szCs w:val="32"/>
          <w:highlight w:val="none"/>
        </w:rPr>
        <w:t>委派人员担任，经股东会选举产生；</w:t>
      </w:r>
    </w:p>
    <w:p w14:paraId="362C56F4">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1.5合作期限：</w:t>
      </w:r>
      <w:r>
        <w:rPr>
          <w:rFonts w:hint="eastAsia" w:ascii="仿宋" w:hAnsi="仿宋" w:eastAsia="仿宋" w:cs="仿宋"/>
          <w:color w:val="auto"/>
          <w:sz w:val="32"/>
          <w:szCs w:val="32"/>
          <w:highlight w:val="none"/>
          <w:u w:val="single"/>
        </w:rPr>
        <w:t xml:space="preserve"> 10年 </w:t>
      </w:r>
      <w:r>
        <w:rPr>
          <w:rFonts w:hint="eastAsia" w:ascii="仿宋" w:hAnsi="仿宋" w:eastAsia="仿宋" w:cs="仿宋"/>
          <w:color w:val="auto"/>
          <w:sz w:val="32"/>
          <w:szCs w:val="32"/>
          <w:highlight w:val="none"/>
        </w:rPr>
        <w:t>，自《企业法人营业执照》签发之日起计算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期满后经双方协商后可自行续期</w:t>
      </w:r>
      <w:r>
        <w:rPr>
          <w:rFonts w:hint="eastAsia" w:ascii="仿宋" w:hAnsi="仿宋" w:eastAsia="仿宋" w:cs="仿宋"/>
          <w:color w:val="auto"/>
          <w:sz w:val="32"/>
          <w:szCs w:val="32"/>
          <w:highlight w:val="none"/>
        </w:rPr>
        <w:t>；</w:t>
      </w:r>
    </w:p>
    <w:p w14:paraId="70C83300">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1.6责任承担：甲乙双方以各自认缴的出资额为限对合资公司承担有限责任，合资公司以其全部财产对公司债务承担责任。</w:t>
      </w:r>
    </w:p>
    <w:p w14:paraId="1B8541E5">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第二条 合资公司定位及经营范围</w:t>
      </w:r>
    </w:p>
    <w:p w14:paraId="00F2F74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2.1公司定位：湘南地区汽车后市场全产业链运营平台，聚焦“一馆四中心”建设运营，打造区域汽车后市场产业示范标杆；</w:t>
      </w:r>
    </w:p>
    <w:p w14:paraId="6A661C38">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2.2经营范围：二手车交易、汽车检测鉴定、汽车维修保养美容、报废汽车回收拆解、新能源汽车电池回收利用、汽车价格评估、汽车金融、保险配套服务、汽车配件销售等（最终以市场监督管理部门核准的经营范围为准）。</w:t>
      </w:r>
    </w:p>
    <w:p w14:paraId="28B32408">
      <w:pPr>
        <w:spacing w:line="60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第三条 项目基础及租赁方式</w:t>
      </w:r>
    </w:p>
    <w:p w14:paraId="0164F2C1">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3.1汽车后市场“一馆四中心”作为本合作项目的核心配套与合作基础，由乙方在其自有地块上负责统筹完成，整体实施周期为一年（自</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eastAsia="zh-CN"/>
        </w:rPr>
        <w:object>
          <v:shape id="_x0000_i1025" o:spt="75" type="#_x0000_t75" style="height:0.15pt;width:0.15pt;" o:ole="t" filled="f" o:preferrelative="t" stroked="f" coordsize="21600,21600">
            <v:path/>
            <v:fill on="f" focussize="0,0"/>
            <v:stroke on="f"/>
            <v:imagedata r:id="rId6" o:title=""/>
            <o:lock v:ext="edit" aspectratio="t"/>
            <w10:wrap type="none"/>
            <w10:anchorlock/>
          </v:shape>
          <o:OLEObject Type="Embed" ProgID="FoxitReader.Document" ShapeID="_x0000_i1025" DrawAspect="Content" ObjectID="_1468075725" r:id="rId5">
            <o:LockedField>false</o:LockedField>
          </o:OLEObject>
        </w:object>
      </w:r>
      <w:r>
        <w:rPr>
          <w:rFonts w:hint="eastAsia" w:ascii="仿宋" w:hAnsi="仿宋" w:eastAsia="仿宋" w:cs="仿宋"/>
          <w:color w:val="auto"/>
          <w:sz w:val="32"/>
          <w:szCs w:val="32"/>
          <w:highlight w:val="none"/>
          <w:lang w:eastAsia="zh-CN"/>
        </w:rPr>
        <w:t>以实际开工日期为准</w:t>
      </w:r>
      <w:r>
        <w:rPr>
          <w:rFonts w:hint="eastAsia" w:ascii="仿宋" w:hAnsi="仿宋" w:eastAsia="仿宋" w:cs="仿宋"/>
          <w:color w:val="auto"/>
          <w:sz w:val="32"/>
          <w:szCs w:val="32"/>
          <w:highlight w:val="none"/>
        </w:rPr>
        <w:t>），对应建成载体总建筑面积不低于35000平方米。乙方应按约定完成并交付，作为本项目后续运营合作的基础条件。</w:t>
      </w:r>
    </w:p>
    <w:p w14:paraId="7DE73426">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3.2汽车后市场“一馆四中心”建成后，由甲、乙双方共同成立合资公司以租赁方式运营使用。首次租赁期限为10年；租赁标准由</w:t>
      </w:r>
      <w:r>
        <w:rPr>
          <w:rFonts w:hint="eastAsia" w:ascii="仿宋" w:hAnsi="仿宋" w:eastAsia="仿宋" w:cs="仿宋"/>
          <w:color w:val="auto"/>
          <w:sz w:val="32"/>
          <w:szCs w:val="32"/>
          <w:highlight w:val="none"/>
          <w:lang w:eastAsia="zh-CN"/>
        </w:rPr>
        <w:t>具备相关资质的</w:t>
      </w:r>
      <w:r>
        <w:rPr>
          <w:rFonts w:hint="eastAsia" w:ascii="仿宋" w:hAnsi="仿宋" w:eastAsia="仿宋" w:cs="仿宋"/>
          <w:color w:val="auto"/>
          <w:sz w:val="32"/>
          <w:szCs w:val="32"/>
          <w:highlight w:val="none"/>
        </w:rPr>
        <w:t>第三方评估机构</w:t>
      </w:r>
      <w:r>
        <w:rPr>
          <w:rFonts w:hint="eastAsia" w:ascii="仿宋" w:hAnsi="仿宋" w:eastAsia="仿宋" w:cs="仿宋"/>
          <w:color w:val="auto"/>
          <w:sz w:val="32"/>
          <w:szCs w:val="32"/>
          <w:highlight w:val="none"/>
          <w:lang w:eastAsia="zh-CN"/>
        </w:rPr>
        <w:t>和参考</w:t>
      </w:r>
      <w:r>
        <w:rPr>
          <w:rFonts w:hint="eastAsia" w:ascii="仿宋" w:hAnsi="仿宋" w:eastAsia="仿宋" w:cs="仿宋"/>
          <w:color w:val="auto"/>
          <w:sz w:val="32"/>
          <w:szCs w:val="32"/>
          <w:highlight w:val="none"/>
        </w:rPr>
        <w:t>周边厂房租赁市场价格核定，且最高不超过7.5元/平方</w:t>
      </w:r>
      <w:r>
        <w:rPr>
          <w:rFonts w:hint="eastAsia" w:ascii="仿宋" w:hAnsi="仿宋" w:eastAsia="仿宋" w:cs="仿宋"/>
          <w:color w:val="auto"/>
          <w:sz w:val="32"/>
          <w:szCs w:val="32"/>
          <w:highlight w:val="none"/>
          <w:lang w:val="en-US" w:eastAsia="zh-CN"/>
        </w:rPr>
        <w:t>米</w:t>
      </w:r>
      <w:r>
        <w:rPr>
          <w:rFonts w:hint="eastAsia" w:ascii="仿宋" w:hAnsi="仿宋" w:eastAsia="仿宋" w:cs="仿宋"/>
          <w:color w:val="auto"/>
          <w:sz w:val="32"/>
          <w:szCs w:val="32"/>
          <w:highlight w:val="none"/>
        </w:rPr>
        <w:t>/月，具体租金标准在租赁协议中明确约定，确保定价公允、合规。</w:t>
      </w:r>
    </w:p>
    <w:p w14:paraId="725AA420">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乙方项目建设方案须报甲方审核批准，该方案将作为甲、乙双方合作的重要基础。若项目建设方案不符合甲方要求，乙方须按甲方意见进行修改；若经两次修改后，方案仍未通过甲方审核，甲方有权解除合同，且不承担任何违约责任。</w:t>
      </w:r>
    </w:p>
    <w:p w14:paraId="2E460844">
      <w:pPr>
        <w:spacing w:line="60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第四条 注册资本、出资方式及出资期限</w:t>
      </w:r>
    </w:p>
    <w:p w14:paraId="35FDEDE6">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公司注册资金2000万元。甲方出资人民币900万元，占注册资本的45%。乙方出资人民币1100万元，占注册资本的55%。出资情况及股权结构如下表：</w:t>
      </w:r>
    </w:p>
    <w:tbl>
      <w:tblPr>
        <w:tblStyle w:val="9"/>
        <w:tblW w:w="8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413"/>
        <w:gridCol w:w="1496"/>
        <w:gridCol w:w="1691"/>
        <w:gridCol w:w="1337"/>
      </w:tblGrid>
      <w:tr w14:paraId="54B5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450" w:type="dxa"/>
            <w:vAlign w:val="center"/>
          </w:tcPr>
          <w:p w14:paraId="5860A307">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公司名称</w:t>
            </w:r>
          </w:p>
        </w:tc>
        <w:tc>
          <w:tcPr>
            <w:tcW w:w="1413" w:type="dxa"/>
            <w:vAlign w:val="center"/>
          </w:tcPr>
          <w:p w14:paraId="030FB7D5">
            <w:pPr>
              <w:spacing w:line="3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股权占比</w:t>
            </w:r>
          </w:p>
        </w:tc>
        <w:tc>
          <w:tcPr>
            <w:tcW w:w="1496" w:type="dxa"/>
            <w:vAlign w:val="center"/>
          </w:tcPr>
          <w:p w14:paraId="7D7E1A98">
            <w:pPr>
              <w:spacing w:line="3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出资方式</w:t>
            </w:r>
          </w:p>
        </w:tc>
        <w:tc>
          <w:tcPr>
            <w:tcW w:w="1691" w:type="dxa"/>
            <w:vAlign w:val="center"/>
          </w:tcPr>
          <w:p w14:paraId="4DD4975E">
            <w:pPr>
              <w:spacing w:line="3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出资金额</w:t>
            </w:r>
          </w:p>
        </w:tc>
        <w:tc>
          <w:tcPr>
            <w:tcW w:w="1337" w:type="dxa"/>
            <w:vAlign w:val="center"/>
          </w:tcPr>
          <w:p w14:paraId="68FC4CEA">
            <w:pPr>
              <w:spacing w:line="3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备注</w:t>
            </w:r>
          </w:p>
        </w:tc>
      </w:tr>
      <w:tr w14:paraId="6956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450" w:type="dxa"/>
            <w:vAlign w:val="center"/>
          </w:tcPr>
          <w:p w14:paraId="200103D2">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永州市城创置业有限公司</w:t>
            </w:r>
          </w:p>
        </w:tc>
        <w:tc>
          <w:tcPr>
            <w:tcW w:w="1413" w:type="dxa"/>
            <w:vAlign w:val="center"/>
          </w:tcPr>
          <w:p w14:paraId="4D7D4B93">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45%</w:t>
            </w:r>
          </w:p>
        </w:tc>
        <w:tc>
          <w:tcPr>
            <w:tcW w:w="1496" w:type="dxa"/>
            <w:vAlign w:val="center"/>
          </w:tcPr>
          <w:p w14:paraId="2924C4B7">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现金</w:t>
            </w:r>
          </w:p>
        </w:tc>
        <w:tc>
          <w:tcPr>
            <w:tcW w:w="1691" w:type="dxa"/>
            <w:vAlign w:val="center"/>
          </w:tcPr>
          <w:p w14:paraId="35059B5F">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900万元</w:t>
            </w:r>
          </w:p>
        </w:tc>
        <w:tc>
          <w:tcPr>
            <w:tcW w:w="1337" w:type="dxa"/>
            <w:vAlign w:val="center"/>
          </w:tcPr>
          <w:p w14:paraId="7132F9F1">
            <w:pPr>
              <w:spacing w:line="360" w:lineRule="exact"/>
              <w:jc w:val="center"/>
              <w:rPr>
                <w:rFonts w:hint="eastAsia" w:ascii="仿宋" w:hAnsi="仿宋" w:eastAsia="仿宋" w:cs="仿宋"/>
                <w:color w:val="auto"/>
                <w:sz w:val="32"/>
                <w:szCs w:val="32"/>
                <w:highlight w:val="none"/>
              </w:rPr>
            </w:pPr>
          </w:p>
        </w:tc>
      </w:tr>
      <w:tr w14:paraId="3C89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450" w:type="dxa"/>
            <w:vAlign w:val="center"/>
          </w:tcPr>
          <w:p w14:paraId="2D5FC75D">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*******公司</w:t>
            </w:r>
          </w:p>
        </w:tc>
        <w:tc>
          <w:tcPr>
            <w:tcW w:w="1413" w:type="dxa"/>
            <w:vAlign w:val="center"/>
          </w:tcPr>
          <w:p w14:paraId="6BDCFFF6">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5%</w:t>
            </w:r>
          </w:p>
        </w:tc>
        <w:tc>
          <w:tcPr>
            <w:tcW w:w="1496" w:type="dxa"/>
            <w:vAlign w:val="center"/>
          </w:tcPr>
          <w:p w14:paraId="03D6D8F9">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现金</w:t>
            </w:r>
          </w:p>
        </w:tc>
        <w:tc>
          <w:tcPr>
            <w:tcW w:w="1691" w:type="dxa"/>
            <w:vAlign w:val="center"/>
          </w:tcPr>
          <w:p w14:paraId="270B0D0C">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1100</w:t>
            </w:r>
            <w:r>
              <w:rPr>
                <w:rFonts w:hint="eastAsia" w:ascii="仿宋" w:hAnsi="仿宋" w:eastAsia="仿宋" w:cs="仿宋"/>
                <w:color w:val="auto"/>
                <w:sz w:val="32"/>
                <w:szCs w:val="32"/>
                <w:highlight w:val="none"/>
              </w:rPr>
              <w:t>万元</w:t>
            </w:r>
          </w:p>
        </w:tc>
        <w:tc>
          <w:tcPr>
            <w:tcW w:w="1337" w:type="dxa"/>
            <w:vAlign w:val="center"/>
          </w:tcPr>
          <w:p w14:paraId="5EE8E663">
            <w:pPr>
              <w:spacing w:line="360" w:lineRule="exact"/>
              <w:jc w:val="center"/>
              <w:rPr>
                <w:rFonts w:hint="eastAsia" w:ascii="仿宋" w:hAnsi="仿宋" w:eastAsia="仿宋" w:cs="仿宋"/>
                <w:color w:val="auto"/>
                <w:sz w:val="32"/>
                <w:szCs w:val="32"/>
                <w:highlight w:val="none"/>
                <w:lang w:val="en-US" w:eastAsia="zh-CN"/>
              </w:rPr>
            </w:pPr>
          </w:p>
        </w:tc>
      </w:tr>
      <w:tr w14:paraId="03FF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450" w:type="dxa"/>
            <w:vAlign w:val="center"/>
          </w:tcPr>
          <w:p w14:paraId="1D15FB3F">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注册资本金合计</w:t>
            </w:r>
          </w:p>
        </w:tc>
        <w:tc>
          <w:tcPr>
            <w:tcW w:w="1413" w:type="dxa"/>
            <w:vAlign w:val="center"/>
          </w:tcPr>
          <w:p w14:paraId="51C1C4DC">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w:t>
            </w:r>
          </w:p>
        </w:tc>
        <w:tc>
          <w:tcPr>
            <w:tcW w:w="1496" w:type="dxa"/>
            <w:vAlign w:val="center"/>
          </w:tcPr>
          <w:p w14:paraId="3F4A0F44">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tc>
        <w:tc>
          <w:tcPr>
            <w:tcW w:w="1691" w:type="dxa"/>
            <w:vAlign w:val="center"/>
          </w:tcPr>
          <w:p w14:paraId="4C37F699">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2000万元</w:t>
            </w:r>
          </w:p>
        </w:tc>
        <w:tc>
          <w:tcPr>
            <w:tcW w:w="1337" w:type="dxa"/>
            <w:vAlign w:val="center"/>
          </w:tcPr>
          <w:p w14:paraId="7F70D610">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tc>
      </w:tr>
    </w:tbl>
    <w:p w14:paraId="0B4DE5F7">
      <w:pPr>
        <w:spacing w:line="600" w:lineRule="exact"/>
        <w:ind w:firstLine="640"/>
        <w:rPr>
          <w:rFonts w:hint="eastAsia" w:ascii="仿宋" w:hAnsi="仿宋" w:eastAsia="仿宋" w:cs="仿宋"/>
          <w:color w:val="auto"/>
          <w:sz w:val="32"/>
          <w:szCs w:val="32"/>
          <w:highlight w:val="none"/>
        </w:rPr>
      </w:pPr>
    </w:p>
    <w:p w14:paraId="5F63D804">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4.1项目后期投资、建设及运营资金，原则上由合资公司通过市场化融资方式统筹解决。合资公司融资存在困难的，合作双方应按照本</w:t>
      </w:r>
      <w:r>
        <w:rPr>
          <w:rFonts w:hint="eastAsia" w:ascii="仿宋" w:hAnsi="仿宋" w:eastAsia="仿宋" w:cs="仿宋"/>
          <w:color w:val="auto"/>
          <w:sz w:val="32"/>
          <w:szCs w:val="32"/>
          <w:highlight w:val="none"/>
          <w:lang w:val="en-US" w:eastAsia="zh-CN"/>
        </w:rPr>
        <w:t>协议</w:t>
      </w:r>
      <w:r>
        <w:rPr>
          <w:rFonts w:hint="eastAsia" w:ascii="仿宋" w:hAnsi="仿宋" w:eastAsia="仿宋" w:cs="仿宋"/>
          <w:color w:val="auto"/>
          <w:sz w:val="32"/>
          <w:szCs w:val="32"/>
          <w:highlight w:val="none"/>
        </w:rPr>
        <w:t>约定的出资比例，以同股同权方式进行货币出资。若一方因自身原因无法按期足额履行出资义务，另一方可代为履行相应出资责任，违约方所持股权按实际出资情况及约定予以相应稀释。项目后期如需增资，合资公司可按《中华人民共和国公司法》及公司章程规定程序引入第三方投资者，引入第三方投资者须经股东会代表全体股东100%表决权的股东通过，并符合国有资产监管相关规定。</w:t>
      </w:r>
    </w:p>
    <w:p w14:paraId="015C852E">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4.2注册资本实缴</w:t>
      </w:r>
    </w:p>
    <w:p w14:paraId="66954A74">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4.2.1 甲乙双方注册资本金实行分期实缴，甲方按以下期限足额缴纳：</w:t>
      </w:r>
    </w:p>
    <w:p w14:paraId="2C5AC2D6">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（1）首期出资：自合资公司工商注册登记之日起30个工作日内，缴纳不低于</w:t>
      </w:r>
      <w:r>
        <w:rPr>
          <w:rFonts w:hint="eastAsia" w:ascii="仿宋" w:hAnsi="仿宋" w:eastAsia="仿宋" w:cs="仿宋"/>
          <w:color w:val="auto"/>
          <w:sz w:val="32"/>
          <w:szCs w:val="32"/>
          <w:highlight w:val="none"/>
          <w:lang w:eastAsia="zh-CN"/>
        </w:rPr>
        <w:t>认缴出资额</w:t>
      </w:r>
      <w:r>
        <w:rPr>
          <w:rFonts w:hint="eastAsia" w:ascii="仿宋" w:hAnsi="仿宋" w:eastAsia="仿宋" w:cs="仿宋"/>
          <w:color w:val="auto"/>
          <w:sz w:val="32"/>
          <w:szCs w:val="32"/>
          <w:highlight w:val="none"/>
        </w:rPr>
        <w:t>的20%；</w:t>
      </w:r>
    </w:p>
    <w:p w14:paraId="4A7E0BF3">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（2）二期出资：自首期出资完成之日起6个月内，累计缴纳不低于</w:t>
      </w:r>
      <w:r>
        <w:rPr>
          <w:rFonts w:hint="eastAsia" w:ascii="仿宋" w:hAnsi="仿宋" w:eastAsia="仿宋" w:cs="仿宋"/>
          <w:color w:val="auto"/>
          <w:sz w:val="32"/>
          <w:szCs w:val="32"/>
          <w:highlight w:val="none"/>
          <w:lang w:eastAsia="zh-CN"/>
        </w:rPr>
        <w:t>认缴出资额</w:t>
      </w:r>
      <w:r>
        <w:rPr>
          <w:rFonts w:hint="eastAsia" w:ascii="仿宋" w:hAnsi="仿宋" w:eastAsia="仿宋" w:cs="仿宋"/>
          <w:color w:val="auto"/>
          <w:sz w:val="32"/>
          <w:szCs w:val="32"/>
          <w:highlight w:val="none"/>
        </w:rPr>
        <w:t>的 50%；</w:t>
      </w:r>
    </w:p>
    <w:p w14:paraId="4B1595A8">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（3）剩余出资：自工商注册登记之日起5年内，完成全部注册资本金实缴到位。</w:t>
      </w:r>
    </w:p>
    <w:p w14:paraId="69D5B3BF">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4.2.2 鉴于乙方需在自有地块自行投资建设汽车后市场“一馆四中心”项目，前期资金投入较大，经双方协商一致，乙方注册资本金实缴安排调整如下：</w:t>
      </w:r>
    </w:p>
    <w:p w14:paraId="1EA3177A">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（1）首期出资：自合资公司工商注册登记之日起30个工作日内，按持股比例缴纳</w:t>
      </w:r>
      <w:r>
        <w:rPr>
          <w:rFonts w:hint="eastAsia" w:ascii="仿宋" w:hAnsi="仿宋" w:eastAsia="仿宋" w:cs="仿宋"/>
          <w:color w:val="auto"/>
          <w:sz w:val="32"/>
          <w:szCs w:val="32"/>
          <w:highlight w:val="none"/>
          <w:lang w:eastAsia="zh-CN"/>
        </w:rPr>
        <w:t>认缴出资额</w:t>
      </w:r>
      <w:r>
        <w:rPr>
          <w:rFonts w:hint="eastAsia" w:ascii="仿宋" w:hAnsi="仿宋" w:eastAsia="仿宋" w:cs="仿宋"/>
          <w:color w:val="auto"/>
          <w:sz w:val="32"/>
          <w:szCs w:val="32"/>
          <w:highlight w:val="none"/>
        </w:rPr>
        <w:t>的20%；</w:t>
      </w:r>
    </w:p>
    <w:p w14:paraId="06C1272F">
      <w:pPr>
        <w:spacing w:line="600" w:lineRule="exact"/>
        <w:ind w:firstLine="64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（2）二期出资：</w:t>
      </w:r>
      <w:r>
        <w:rPr>
          <w:rFonts w:hint="eastAsia" w:ascii="仿宋" w:hAnsi="仿宋" w:eastAsia="仿宋" w:cs="仿宋"/>
          <w:color w:val="auto"/>
          <w:sz w:val="32"/>
          <w:szCs w:val="32"/>
          <w:highlight w:val="none"/>
          <w:lang w:eastAsia="zh-CN"/>
        </w:rPr>
        <w:t>乙</w:t>
      </w:r>
      <w:r>
        <w:rPr>
          <w:rFonts w:hint="eastAsia" w:ascii="仿宋" w:hAnsi="仿宋" w:eastAsia="仿宋" w:cs="仿宋"/>
          <w:color w:val="auto"/>
          <w:sz w:val="32"/>
          <w:szCs w:val="32"/>
          <w:highlight w:val="none"/>
        </w:rPr>
        <w:t>方应在汽车后市场“一馆四中心”项目</w:t>
      </w:r>
      <w:r>
        <w:rPr>
          <w:rFonts w:hint="eastAsia" w:ascii="仿宋" w:hAnsi="仿宋" w:eastAsia="仿宋" w:cs="仿宋"/>
          <w:color w:val="auto"/>
          <w:sz w:val="32"/>
          <w:szCs w:val="32"/>
          <w:highlight w:val="none"/>
          <w:lang w:eastAsia="zh-CN"/>
        </w:rPr>
        <w:t>完工并验收合格后</w:t>
      </w:r>
      <w:r>
        <w:rPr>
          <w:rFonts w:hint="eastAsia" w:ascii="仿宋" w:hAnsi="仿宋" w:eastAsia="仿宋" w:cs="仿宋"/>
          <w:color w:val="auto"/>
          <w:sz w:val="32"/>
          <w:szCs w:val="32"/>
          <w:highlight w:val="none"/>
          <w:lang w:val="en-US" w:eastAsia="zh-CN"/>
        </w:rPr>
        <w:t>10个工作日内</w:t>
      </w:r>
      <w:r>
        <w:rPr>
          <w:rFonts w:hint="eastAsia" w:ascii="仿宋" w:hAnsi="仿宋" w:eastAsia="仿宋" w:cs="仿宋"/>
          <w:color w:val="auto"/>
          <w:sz w:val="32"/>
          <w:szCs w:val="32"/>
          <w:highlight w:val="none"/>
        </w:rPr>
        <w:t>，按照持股比例足额缴纳剩余35%的</w:t>
      </w:r>
      <w:r>
        <w:rPr>
          <w:rFonts w:hint="eastAsia" w:ascii="仿宋" w:hAnsi="仿宋" w:eastAsia="仿宋" w:cs="仿宋"/>
          <w:color w:val="auto"/>
          <w:sz w:val="32"/>
          <w:szCs w:val="32"/>
          <w:highlight w:val="none"/>
          <w:lang w:eastAsia="zh-CN"/>
        </w:rPr>
        <w:t>认缴出资额</w:t>
      </w:r>
      <w:r>
        <w:rPr>
          <w:rFonts w:hint="eastAsia" w:ascii="仿宋" w:hAnsi="仿宋" w:eastAsia="仿宋" w:cs="仿宋"/>
          <w:color w:val="auto"/>
          <w:sz w:val="32"/>
          <w:szCs w:val="32"/>
          <w:highlight w:val="none"/>
        </w:rPr>
        <w:t>；若该项目未能在</w:t>
      </w:r>
      <w:r>
        <w:rPr>
          <w:rFonts w:hint="eastAsia" w:ascii="仿宋" w:hAnsi="仿宋" w:eastAsia="仿宋" w:cs="仿宋"/>
          <w:color w:val="auto"/>
          <w:sz w:val="32"/>
          <w:szCs w:val="32"/>
          <w:highlight w:val="none"/>
          <w:lang w:eastAsia="zh-CN"/>
        </w:rPr>
        <w:t>实际开工之日起</w:t>
      </w:r>
      <w:r>
        <w:rPr>
          <w:rFonts w:hint="eastAsia" w:ascii="仿宋" w:hAnsi="仿宋" w:eastAsia="仿宋" w:cs="仿宋"/>
          <w:color w:val="auto"/>
          <w:sz w:val="32"/>
          <w:szCs w:val="32"/>
          <w:highlight w:val="none"/>
          <w:lang w:val="en-US" w:eastAsia="zh-CN"/>
        </w:rPr>
        <w:t>1年内完成建设及验收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乙</w:t>
      </w:r>
      <w:r>
        <w:rPr>
          <w:rFonts w:hint="eastAsia" w:ascii="仿宋" w:hAnsi="仿宋" w:eastAsia="仿宋" w:cs="仿宋"/>
          <w:color w:val="auto"/>
          <w:sz w:val="32"/>
          <w:szCs w:val="32"/>
          <w:highlight w:val="none"/>
        </w:rPr>
        <w:t>方仍应于上述期限届满之日起</w:t>
      </w:r>
      <w:r>
        <w:rPr>
          <w:rFonts w:hint="eastAsia" w:ascii="仿宋" w:hAnsi="仿宋" w:eastAsia="仿宋" w:cs="仿宋"/>
          <w:color w:val="auto"/>
          <w:sz w:val="32"/>
          <w:szCs w:val="32"/>
          <w:highlight w:val="none"/>
          <w:lang w:val="en-US" w:eastAsia="zh-CN"/>
        </w:rPr>
        <w:t>10</w:t>
      </w:r>
      <w:bookmarkStart w:id="0" w:name="_GoBack"/>
      <w:bookmarkEnd w:id="0"/>
      <w:r>
        <w:rPr>
          <w:rFonts w:hint="eastAsia" w:ascii="仿宋" w:hAnsi="仿宋" w:eastAsia="仿宋" w:cs="仿宋"/>
          <w:color w:val="auto"/>
          <w:sz w:val="32"/>
          <w:szCs w:val="32"/>
          <w:highlight w:val="none"/>
        </w:rPr>
        <w:t>个工作日内</w:t>
      </w:r>
      <w:r>
        <w:rPr>
          <w:rFonts w:hint="eastAsia" w:ascii="仿宋" w:hAnsi="仿宋" w:eastAsia="仿宋" w:cs="仿宋"/>
          <w:color w:val="auto"/>
          <w:sz w:val="32"/>
          <w:szCs w:val="32"/>
          <w:highlight w:val="none"/>
          <w:lang w:eastAsia="zh-CN"/>
        </w:rPr>
        <w:t>，无条件</w:t>
      </w:r>
      <w:r>
        <w:rPr>
          <w:rFonts w:hint="eastAsia" w:ascii="仿宋" w:hAnsi="仿宋" w:eastAsia="仿宋" w:cs="仿宋"/>
          <w:color w:val="auto"/>
          <w:sz w:val="32"/>
          <w:szCs w:val="32"/>
          <w:highlight w:val="none"/>
        </w:rPr>
        <w:t>履行剩余35%</w:t>
      </w:r>
      <w:r>
        <w:rPr>
          <w:rFonts w:hint="eastAsia" w:ascii="仿宋" w:hAnsi="仿宋" w:eastAsia="仿宋" w:cs="仿宋"/>
          <w:color w:val="auto"/>
          <w:sz w:val="32"/>
          <w:szCs w:val="32"/>
          <w:highlight w:val="none"/>
          <w:lang w:eastAsia="zh-CN"/>
        </w:rPr>
        <w:t>认缴出资额</w:t>
      </w:r>
      <w:r>
        <w:rPr>
          <w:rFonts w:hint="eastAsia" w:ascii="仿宋" w:hAnsi="仿宋" w:eastAsia="仿宋" w:cs="仿宋"/>
          <w:color w:val="auto"/>
          <w:sz w:val="32"/>
          <w:szCs w:val="32"/>
          <w:highlight w:val="none"/>
        </w:rPr>
        <w:t>的出资义务</w:t>
      </w:r>
      <w:r>
        <w:rPr>
          <w:rFonts w:hint="eastAsia" w:ascii="仿宋" w:hAnsi="仿宋" w:eastAsia="仿宋" w:cs="仿宋"/>
          <w:color w:val="auto"/>
          <w:sz w:val="32"/>
          <w:szCs w:val="32"/>
          <w:highlight w:val="none"/>
          <w:lang w:eastAsia="zh-CN"/>
        </w:rPr>
        <w:t>。若乙方未按约定履行，按本协议第</w:t>
      </w:r>
      <w:r>
        <w:rPr>
          <w:rFonts w:hint="eastAsia" w:ascii="仿宋" w:hAnsi="仿宋" w:eastAsia="仿宋" w:cs="仿宋"/>
          <w:color w:val="auto"/>
          <w:sz w:val="32"/>
          <w:szCs w:val="32"/>
          <w:highlight w:val="none"/>
          <w:lang w:val="en-US" w:eastAsia="zh-CN"/>
        </w:rPr>
        <w:t>10.1条承担违约责任。</w:t>
      </w:r>
    </w:p>
    <w:p w14:paraId="3D0604B5">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4.2.3 甲乙双方均应在合资公司工商注册登记之日起5 年内，完成各自认缴注册资本金的全部实缴义务。</w:t>
      </w:r>
    </w:p>
    <w:p w14:paraId="2F34325E">
      <w:pPr>
        <w:spacing w:line="600" w:lineRule="exact"/>
        <w:ind w:firstLine="640"/>
        <w:rPr>
          <w:rFonts w:hint="eastAsia" w:ascii="仿宋" w:hAnsi="仿宋" w:eastAsia="仿宋" w:cs="仿宋"/>
          <w:strike w:val="0"/>
          <w:color w:val="auto"/>
          <w:sz w:val="32"/>
          <w:szCs w:val="32"/>
          <w:highlight w:val="none"/>
        </w:rPr>
      </w:pPr>
      <w:r>
        <w:rPr>
          <w:rFonts w:hint="eastAsia" w:ascii="仿宋" w:hAnsi="仿宋" w:eastAsia="仿宋" w:cs="仿宋"/>
          <w:strike w:val="0"/>
          <w:color w:val="auto"/>
          <w:sz w:val="32"/>
          <w:szCs w:val="32"/>
          <w:highlight w:val="none"/>
        </w:rPr>
        <w:t xml:space="preserve">4.2.4 </w:t>
      </w:r>
      <w:r>
        <w:rPr>
          <w:rFonts w:hint="eastAsia" w:ascii="仿宋" w:hAnsi="仿宋" w:eastAsia="仿宋" w:cs="仿宋"/>
          <w:color w:val="auto"/>
          <w:sz w:val="32"/>
          <w:szCs w:val="32"/>
          <w:highlight w:val="none"/>
          <w:lang w:val="en-US" w:eastAsia="zh-CN"/>
        </w:rPr>
        <w:t>所有出资资金须缴付至合资公司指定银行账户，非货币资产出资须过户至合资公司名下，并经国资委认可的第三方评估机构评估确认的资产价值确认出资金额。且该不动产出资须保证</w:t>
      </w:r>
      <w:r>
        <w:rPr>
          <w:rFonts w:hint="eastAsia" w:ascii="仿宋" w:hAnsi="仿宋" w:eastAsia="仿宋" w:cs="仿宋"/>
          <w:strike w:val="0"/>
          <w:color w:val="auto"/>
          <w:sz w:val="32"/>
          <w:szCs w:val="32"/>
          <w:highlight w:val="none"/>
        </w:rPr>
        <w:t>权属清晰、无抵押、质押、查封、冻结及其他任何权利限制或瑕疵，评估报告作为本协议附件；评估费用由出资方承担。</w:t>
      </w:r>
    </w:p>
    <w:p w14:paraId="5F220079">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第五条 股东会、董事会及经营管理</w:t>
      </w:r>
    </w:p>
    <w:p w14:paraId="188921B5">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5.1股东会</w:t>
      </w:r>
    </w:p>
    <w:p w14:paraId="037D6902">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5.1.1股东会为合资公司最高权力机构，行使《中华人民共和国公司法》及公司章程规定的职权；</w:t>
      </w:r>
    </w:p>
    <w:p w14:paraId="0950F764">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5.1.2 股东会会议由股东按照</w:t>
      </w:r>
      <w:r>
        <w:rPr>
          <w:rStyle w:val="11"/>
          <w:rFonts w:hint="eastAsia" w:ascii="仿宋" w:hAnsi="仿宋" w:eastAsia="仿宋" w:cs="仿宋"/>
          <w:bCs/>
          <w:color w:val="auto"/>
          <w:sz w:val="32"/>
          <w:szCs w:val="32"/>
          <w:highlight w:val="none"/>
        </w:rPr>
        <w:t>认缴出资比例</w:t>
      </w:r>
      <w:r>
        <w:rPr>
          <w:rFonts w:hint="eastAsia" w:ascii="仿宋" w:hAnsi="仿宋" w:eastAsia="仿宋" w:cs="仿宋"/>
          <w:color w:val="auto"/>
          <w:sz w:val="32"/>
          <w:szCs w:val="32"/>
          <w:highlight w:val="none"/>
        </w:rPr>
        <w:t>行使表决权。对于下列涉及公司根本利益、国有资产安全及股东重大权益的事项，须经</w:t>
      </w:r>
      <w:r>
        <w:rPr>
          <w:rStyle w:val="11"/>
          <w:rFonts w:hint="eastAsia" w:ascii="仿宋" w:hAnsi="仿宋" w:eastAsia="仿宋" w:cs="仿宋"/>
          <w:bCs/>
          <w:color w:val="auto"/>
          <w:sz w:val="32"/>
          <w:szCs w:val="32"/>
          <w:highlight w:val="none"/>
        </w:rPr>
        <w:t>全体股东一致同意</w:t>
      </w:r>
      <w:r>
        <w:rPr>
          <w:rFonts w:hint="eastAsia" w:ascii="仿宋" w:hAnsi="仿宋" w:eastAsia="仿宋" w:cs="仿宋"/>
          <w:color w:val="auto"/>
          <w:sz w:val="32"/>
          <w:szCs w:val="32"/>
          <w:highlight w:val="none"/>
        </w:rPr>
        <w:t>，即由代表</w:t>
      </w:r>
      <w:r>
        <w:rPr>
          <w:rStyle w:val="11"/>
          <w:rFonts w:hint="eastAsia" w:ascii="仿宋" w:hAnsi="仿宋" w:eastAsia="仿宋" w:cs="仿宋"/>
          <w:bCs/>
          <w:color w:val="auto"/>
          <w:sz w:val="32"/>
          <w:szCs w:val="32"/>
          <w:highlight w:val="none"/>
        </w:rPr>
        <w:t>100%表决权</w:t>
      </w:r>
      <w:r>
        <w:rPr>
          <w:rFonts w:hint="eastAsia" w:ascii="仿宋" w:hAnsi="仿宋" w:eastAsia="仿宋" w:cs="仿宋"/>
          <w:color w:val="auto"/>
          <w:sz w:val="32"/>
          <w:szCs w:val="32"/>
          <w:highlight w:val="none"/>
        </w:rPr>
        <w:t>的股东表决通过后方可实施：</w:t>
      </w:r>
    </w:p>
    <w:p w14:paraId="279DE656">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（1）修改公司章程；</w:t>
      </w:r>
    </w:p>
    <w:p w14:paraId="7E983DDA">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（2）增加或减少注册资本；</w:t>
      </w:r>
    </w:p>
    <w:p w14:paraId="0F4B2C47">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（3）合资公司合并、分立、解散、清算或变更公司形式；</w:t>
      </w:r>
    </w:p>
    <w:p w14:paraId="4AEC5811">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（4）股东对外转让股权、质押股权及合作退出相关事项；</w:t>
      </w:r>
    </w:p>
    <w:p w14:paraId="1B368A48">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（5）对外担保、对外借款、重大资产处置及其他可能影响国有资产安全的重大事项。</w:t>
      </w:r>
    </w:p>
    <w:p w14:paraId="6D44607D">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除上述事项外，其他事项经代表全体股东过半数表决权的股东通过即可。</w:t>
      </w:r>
    </w:p>
    <w:p w14:paraId="6810DF47">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5.2 董事会</w:t>
      </w:r>
    </w:p>
    <w:p w14:paraId="36A5EC40">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5.2.1 合资公司设立董事会，由</w:t>
      </w:r>
      <w:r>
        <w:rPr>
          <w:rFonts w:hint="eastAsia" w:ascii="仿宋" w:hAnsi="仿宋" w:eastAsia="仿宋" w:cs="仿宋"/>
          <w:b/>
          <w:bCs/>
          <w:color w:val="auto"/>
          <w:sz w:val="32"/>
          <w:szCs w:val="32"/>
          <w:highlight w:val="none"/>
          <w:lang w:val="en-US" w:eastAsia="zh-CN"/>
        </w:rPr>
        <w:t>5</w:t>
      </w:r>
      <w:r>
        <w:rPr>
          <w:rFonts w:hint="eastAsia" w:ascii="仿宋" w:hAnsi="仿宋" w:eastAsia="仿宋" w:cs="仿宋"/>
          <w:color w:val="auto"/>
          <w:sz w:val="32"/>
          <w:szCs w:val="32"/>
          <w:highlight w:val="none"/>
        </w:rPr>
        <w:t>名董事组成，其中甲方委派</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名，乙方委派2名（联合体乙方主体委派1名、运营方委派1名）；董事长由甲方委派的董事担任，作为合资公司法定代表人，董事会决议实行一人一票制，确保决策科学、民主、合规，董事会决议须经全体董事过半数通过方为有效。</w:t>
      </w:r>
    </w:p>
    <w:p w14:paraId="0858F7CE">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5.2.2 董事会行使《中华人民共和国公司法》及公司章程规定的经营管理职权，对股东会负责。</w:t>
      </w:r>
    </w:p>
    <w:p w14:paraId="248DDE41">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5.3 监事会</w:t>
      </w:r>
    </w:p>
    <w:p w14:paraId="4B7E3AB9">
      <w:pPr>
        <w:spacing w:before="120" w:after="120" w:line="288"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5.3.1 合资公司不设立监事会，约定由甲方单独委派1名监事，行使《中华人民共和国公司法》及公司章程规定的监事职权，负责对合资公司经营活动、财务状况及董事、高级管理人员履职情况进行监督，维护公司利益及国有资产安全，监事任期每届3年，可连选连任。</w:t>
      </w:r>
    </w:p>
    <w:p w14:paraId="45A02BD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5.4 经营管理</w:t>
      </w:r>
    </w:p>
    <w:p w14:paraId="4834C73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5.4.1 合资公司的日常运营管理由乙方主导，乙方委派总经理1名，负责公司日常经营；甲方委派财务总监1名，负责公司财务管控，对公司财务状况进行监督；</w:t>
      </w:r>
    </w:p>
    <w:p w14:paraId="470BD36B">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5.4.2 乙方应组建专业运营团队，建立健全市场化经营机制，负责办理各项资质和证件，确保合资公司实现既定经营目标；</w:t>
      </w:r>
    </w:p>
    <w:p w14:paraId="4D04BD77">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5.4.3 甲方负责协调政府资源、争取产业政策支持、监管国有资产安全，享有合资公司财务并表权，双方另行签订财务并表协议作为本协议附件。</w:t>
      </w:r>
    </w:p>
    <w:p w14:paraId="124CC894">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第六条 股东权利与义务</w:t>
      </w:r>
    </w:p>
    <w:p w14:paraId="48BB8BB2">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6.1 共同权利</w:t>
      </w:r>
    </w:p>
    <w:p w14:paraId="2C1F0D83">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6.1.1 按实缴出资比例分取红利，优先参与合资公司增资扩股；</w:t>
      </w:r>
    </w:p>
    <w:p w14:paraId="606718CA">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6.1.2 查阅、复制公司章程、股东会会议记录、董事会会议决议、财务会计报告等资料；</w:t>
      </w:r>
    </w:p>
    <w:p w14:paraId="0F329284">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6.1.3 对合资公司的经营提出建议或质询；</w:t>
      </w:r>
    </w:p>
    <w:p w14:paraId="4A0CCA4C">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6.1.4 按《中华人民共和国公司法》及本协议约定转让所持股权；</w:t>
      </w:r>
    </w:p>
    <w:p w14:paraId="65F5AC3B">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 xml:space="preserve"> 合资公司解散、清算时，按实缴出资比例分配剩余财产；</w:t>
      </w:r>
    </w:p>
    <w:p w14:paraId="19EDBCD4">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 xml:space="preserve"> 法律法规及本协议约定的其他权利。</w:t>
      </w:r>
    </w:p>
    <w:p w14:paraId="16792CC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6.2 甲方权利</w:t>
      </w:r>
    </w:p>
    <w:p w14:paraId="6B2DF494">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6.2.1 对合资公司的财务状况、国有资产运营情况进行监督检查；</w:t>
      </w:r>
    </w:p>
    <w:p w14:paraId="04D7B593">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6.2.2 在本协议约定的合作退出机制中，单方启动退出程序、股权优先购买/处置的权利；</w:t>
      </w:r>
    </w:p>
    <w:p w14:paraId="19275335">
      <w:pPr>
        <w:spacing w:before="120" w:after="120" w:line="288"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6.2.3 对合资公司的年度预算、重大合同、融资、担保、“三重一大”事项行使一票否决权，但不得干预合资公司正常市场化运营活动。</w:t>
      </w:r>
    </w:p>
    <w:p w14:paraId="62A394DA">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6.3 乙方权利</w:t>
      </w:r>
    </w:p>
    <w:p w14:paraId="6511562E">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6.3.1 主导合资公司的市场化运营管理，自主组建运营团队、制定运营方案；</w:t>
      </w:r>
    </w:p>
    <w:p w14:paraId="5851BDA7">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6.3.2 按约定享有合资公司的利润分配权，除甲方固定回报率外，剩余利润按实缴出资比例分配；</w:t>
      </w:r>
    </w:p>
    <w:p w14:paraId="20CE094A">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6.3.3 拥有合资公司依法依规的全部经营管理权，根据经营需求和市场情况全权负责开展汽车后市场全产业链业务；</w:t>
      </w:r>
    </w:p>
    <w:p w14:paraId="73E14B1D">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6.3.4 法律法规及本协议约定的其他权利。</w:t>
      </w:r>
    </w:p>
    <w:p w14:paraId="34B15E07">
      <w:pPr>
        <w:spacing w:line="600" w:lineRule="exact"/>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 xml:space="preserve">    6.4 共同义务</w:t>
      </w:r>
    </w:p>
    <w:p w14:paraId="5E6E6FCE">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6.4.1 按本协议约定按时、足额履行出资义务，不得抽逃出资；</w:t>
      </w:r>
    </w:p>
    <w:p w14:paraId="2B039A2B">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6.4.2 遵守《中华人民共和国公司法》、本协议及公司章程的规定，不得损害合资公司及其他股东的合法权益；</w:t>
      </w:r>
    </w:p>
    <w:p w14:paraId="7B70AE60">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6.4.3 及时提供合资公司设立、经营所需的全部文件、资料，配合办理工商注册、资质申请等相关手续；</w:t>
      </w:r>
    </w:p>
    <w:p w14:paraId="20D1989C">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6.4.4 对合资公司的商业秘密、财务信息、运营方案等予以保密，保密期限为永久（直至信息公开）；</w:t>
      </w:r>
    </w:p>
    <w:p w14:paraId="4AF0D44E">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6.4.5不得利用股东身份为自身或第三方谋取不正当利益，不得与合资公司开展同业竞争；</w:t>
      </w:r>
    </w:p>
    <w:p w14:paraId="6CD8564C">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6.4.6法律法规及本协议约定的其他义务。</w:t>
      </w:r>
    </w:p>
    <w:p w14:paraId="39F10B1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6.5甲方义务</w:t>
      </w:r>
    </w:p>
    <w:p w14:paraId="0ACCF8AB">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6.5.1负责协调永州市政府及相关部门，为合资公司争取产业补贴、贷款贴息、税收优惠等政策支持；</w:t>
      </w:r>
    </w:p>
    <w:p w14:paraId="668E6711">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6.5.2协助乙方合资公司办理二手车交易、车辆检测、车辆维修、车辆评估、车辆拆解、报废车回收利用以及新能源电池回收利用等经营许可和批复，汽车后市场相关资质获批后归属合资公司；</w:t>
      </w:r>
    </w:p>
    <w:p w14:paraId="7DEB77AE">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6.5.3协助乙方为合资公司提供产业资源对接，助力合资公司拓展湘南及大湾区市场；</w:t>
      </w:r>
    </w:p>
    <w:p w14:paraId="0646639B">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6.5.4按约定履行出资义务，不得干预合资公司的正常市场化运营。</w:t>
      </w:r>
    </w:p>
    <w:p w14:paraId="4363C2AE">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6.6</w:t>
      </w:r>
      <w:r>
        <w:rPr>
          <w:rFonts w:hint="eastAsia" w:ascii="仿宋" w:hAnsi="仿宋" w:eastAsia="仿宋" w:cs="仿宋"/>
          <w:b/>
          <w:bCs/>
          <w:color w:val="auto"/>
          <w:sz w:val="32"/>
          <w:szCs w:val="32"/>
          <w:highlight w:val="none"/>
        </w:rPr>
        <w:t>乙方义务</w:t>
      </w:r>
    </w:p>
    <w:p w14:paraId="4D14D173">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6.6.1负责合资公司办理二手车交易、车辆检测、车辆维修、车辆评估、车辆拆解、报废车回收利用以及新能源电池回收利用等经营许可和批复，汽车后市场相关资质获批后归属合资公司；</w:t>
      </w:r>
    </w:p>
    <w:p w14:paraId="2EB3A887">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6.6.2</w:t>
      </w:r>
      <w:r>
        <w:rPr>
          <w:rFonts w:hint="eastAsia" w:ascii="仿宋" w:hAnsi="仿宋" w:eastAsia="仿宋" w:cs="仿宋"/>
          <w:color w:val="auto"/>
          <w:sz w:val="32"/>
          <w:szCs w:val="32"/>
          <w:highlight w:val="none"/>
          <w:lang w:val="en-US" w:eastAsia="zh-CN"/>
        </w:rPr>
        <w:t>负责</w:t>
      </w:r>
      <w:r>
        <w:rPr>
          <w:rFonts w:hint="eastAsia" w:ascii="仿宋" w:hAnsi="仿宋" w:eastAsia="仿宋" w:cs="仿宋"/>
          <w:color w:val="auto"/>
          <w:sz w:val="32"/>
          <w:szCs w:val="32"/>
          <w:highlight w:val="none"/>
        </w:rPr>
        <w:t>合资公司所需的二手车交易、报废拆解、检测评估鉴定等产业资源对接，助力合资公司拓展湘南及大湾区市场；</w:t>
      </w:r>
    </w:p>
    <w:p w14:paraId="5E64EE33">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6.6.3 组建专业的运营、技术、管理团队，保障合资公司“一馆四中心”的建设及运营落地；</w:t>
      </w:r>
    </w:p>
    <w:p w14:paraId="304569DB">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6.6.4公司有可分配利润时，经股东会决议，在弥补亏损、提取法定公积金后，可优先向甲方分配不高于实缴出资6%的收益，不足部分不强制补足、不追溯。</w:t>
      </w:r>
    </w:p>
    <w:p w14:paraId="41C5AB32">
      <w:pPr>
        <w:spacing w:line="600" w:lineRule="exact"/>
        <w:ind w:firstLine="64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6.6.5剩余可分配利润，</w:t>
      </w:r>
      <w:r>
        <w:rPr>
          <w:rFonts w:hint="eastAsia" w:ascii="仿宋" w:hAnsi="仿宋" w:eastAsia="仿宋" w:cs="仿宋"/>
          <w:color w:val="auto"/>
          <w:sz w:val="32"/>
          <w:szCs w:val="32"/>
          <w:highlight w:val="none"/>
        </w:rPr>
        <w:t>经股东会决议，</w:t>
      </w:r>
      <w:r>
        <w:rPr>
          <w:rFonts w:hint="eastAsia" w:ascii="仿宋" w:hAnsi="仿宋" w:eastAsia="仿宋" w:cs="仿宋"/>
          <w:color w:val="auto"/>
          <w:sz w:val="32"/>
          <w:szCs w:val="32"/>
          <w:highlight w:val="none"/>
          <w:lang w:eastAsia="zh-CN"/>
        </w:rPr>
        <w:t>按照各自实缴出资比例进行分配。</w:t>
      </w:r>
    </w:p>
    <w:p w14:paraId="2A0C0468">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6.6.</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合作期内，乙方及其关联方不得在永州市范围内直接或间接从事与合资公司相同、类似或具有竞争性的业务，严格遵守竞业禁止约定。</w:t>
      </w:r>
    </w:p>
    <w:p w14:paraId="39A38866">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6.6.</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乙方应积极配合甲方开展国有资产监管、财务并表、内部审计及外部检查等工作，按要求及时、真实、完整地提供财务会计报告、经营管理数据及其他相关资料。</w:t>
      </w:r>
    </w:p>
    <w:p w14:paraId="3EC30266">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第七条 利润分配</w:t>
      </w:r>
    </w:p>
    <w:p w14:paraId="6BB47896">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7.1合资公司年度利润分配顺序与方式</w:t>
      </w:r>
    </w:p>
    <w:p w14:paraId="576A33EC">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7.1.1 合资公司年度实现的可供分配利润，按下列顺序进行分配：</w:t>
      </w:r>
    </w:p>
    <w:p w14:paraId="7E3009F4">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（1）弥补合资公司以前年度未弥补亏损；</w:t>
      </w:r>
    </w:p>
    <w:p w14:paraId="6E8D8C9B">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（2）提取法定公积金；</w:t>
      </w:r>
    </w:p>
    <w:p w14:paraId="465D09B3">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（3）优先向甲方分配其实缴出资额对应的年度6%固定收益。</w:t>
      </w:r>
    </w:p>
    <w:p w14:paraId="7B608E76">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7.1.2 经上述分配后仍有剩余利润的，由甲乙双方按照实际持股比例进行分配。</w:t>
      </w:r>
    </w:p>
    <w:p w14:paraId="1AE9E270">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第八条 股权管理</w:t>
      </w:r>
    </w:p>
    <w:p w14:paraId="391E9E9A">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8.1 股权锁定</w:t>
      </w:r>
    </w:p>
    <w:p w14:paraId="0A0B7067">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合资公司成立后24个月内，未经甲乙双方书面一致同意，任何一方不得转让所持合资公司股权；公司成立后24-36个月内，股权内部转让须经全体股东书面一致同意。且不得损害国有资产权益。</w:t>
      </w:r>
    </w:p>
    <w:p w14:paraId="7D7F0A86">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8.2 股权对外转让</w:t>
      </w:r>
    </w:p>
    <w:p w14:paraId="5DDA006B">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合资公司成立36个月后，股东向股东以外的第三方转让股权，须经其他股东过半数同意，并书面通知其他股东，其他股东享有同等条件下的优先购买权；股东自接到书面通知之日起30日内未答复的，视为放弃优先购买权。甲方转让股权的，须严格遵守国有资产监管相关规定，依法履行审批、评估、进场交易等程序，确保国有资产不流失。</w:t>
      </w:r>
    </w:p>
    <w:p w14:paraId="308A97BC">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8.3 股权质押</w:t>
      </w:r>
    </w:p>
    <w:p w14:paraId="3FBEFB55">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未经甲乙双方书面一致同意，任何一方不得将所持股权用于质押、担保等处分行为；若出现股权冻结、强制执行等情形，相关股东应在24小时内书面通知对方。</w:t>
      </w:r>
    </w:p>
    <w:p w14:paraId="6321F48F">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8.4 国资监管要求</w:t>
      </w:r>
    </w:p>
    <w:p w14:paraId="52CE82B4">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股权的转让、处置等行为，必须严格遵守国有资产监督管理的相关法律法规及程序，确保国有资产不流失。</w:t>
      </w:r>
    </w:p>
    <w:p w14:paraId="7C3FA716">
      <w:pPr>
        <w:spacing w:line="600" w:lineRule="exact"/>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 xml:space="preserve">    第九条 合作退出机制</w:t>
      </w:r>
    </w:p>
    <w:p w14:paraId="3EACA8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9.1 退出程序原则</w:t>
      </w:r>
    </w:p>
    <w:p w14:paraId="46A2F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为保障国有资产安全、维护项目运营稳定性，在出现本协议约定的法定强制退出或违约强制退出情形时，甲方有权单方启动退出程序，乙方应按照本协议约定及国有资产监管相关规定予以积极配合，共同完成股权处置、工商变更登记等相关手续。     </w:t>
      </w:r>
    </w:p>
    <w:p w14:paraId="175D34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9.2 股权处置价格与程序</w:t>
      </w:r>
    </w:p>
    <w:p w14:paraId="22FE3B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所有退出情形下的股权价格确定及处置程序，均须符合国有资产监督管理相关规定。由双方共同委托永州市国资委认可或备案的第三方评估机构对合资公司净资产进行评估，评估结果作为股权处置基准价格，并按规定履行评估、备案及审批程序。    </w:t>
      </w:r>
    </w:p>
    <w:p w14:paraId="66D45B8E">
      <w:pPr>
        <w:spacing w:line="60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9.3 法定强制退出情形</w:t>
      </w:r>
    </w:p>
    <w:p w14:paraId="0B8666D4">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9.3.1 乙方出现下列情形之一的，甲方有权单方发出《退出通知》，</w:t>
      </w:r>
      <w:r>
        <w:rPr>
          <w:rStyle w:val="11"/>
          <w:rFonts w:hint="eastAsia" w:ascii="仿宋" w:hAnsi="仿宋" w:eastAsia="仿宋" w:cs="仿宋"/>
          <w:bCs/>
          <w:color w:val="auto"/>
          <w:sz w:val="32"/>
          <w:szCs w:val="32"/>
          <w:highlight w:val="none"/>
        </w:rPr>
        <w:t>乙方应在收到通知之日起 30 日内，完成其持有的全部合资公司股权的处置及工商变更登记手续</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甲方予以配合。</w:t>
      </w:r>
    </w:p>
    <w:p w14:paraId="3599CB12">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（1）被市场监督管理部门吊销营业执照、责令关闭，或被列入失信被执行人名单；</w:t>
      </w:r>
    </w:p>
    <w:p w14:paraId="604AA13A">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（2）存在重大违法违规经营行为，被相关主管部门处罚，影响合资公司正常运营；</w:t>
      </w:r>
    </w:p>
    <w:p w14:paraId="2767CF7D">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（3）丧失经营资质、偿债能力或核心运营团队，无法继续履行本协议约定的义务；</w:t>
      </w:r>
    </w:p>
    <w:p w14:paraId="4E7584BD">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（4）相关责任人因刑事犯罪被追究刑事责任，导致合资公司商誉受损或无法正常经营。</w:t>
      </w:r>
    </w:p>
    <w:p w14:paraId="18FA91FA">
      <w:pPr>
        <w:pStyle w:val="2"/>
        <w:widowControl/>
        <w:spacing w:before="0" w:beforeAutospacing="0" w:after="0" w:afterAutospacing="0" w:line="360" w:lineRule="atLeast"/>
        <w:rPr>
          <w:rFonts w:hint="eastAsia" w:ascii="仿宋" w:hAnsi="仿宋" w:eastAsia="仿宋" w:cs="仿宋"/>
          <w:b w:val="0"/>
          <w:bCs w:val="0"/>
          <w:color w:val="auto"/>
          <w:kern w:val="2"/>
          <w:sz w:val="32"/>
          <w:szCs w:val="32"/>
          <w:highlight w:val="none"/>
        </w:rPr>
      </w:pPr>
      <w:r>
        <w:rPr>
          <w:rFonts w:hint="eastAsia" w:ascii="仿宋" w:hAnsi="仿宋" w:eastAsia="仿宋" w:cs="仿宋"/>
          <w:color w:val="auto"/>
          <w:sz w:val="32"/>
          <w:szCs w:val="32"/>
          <w:highlight w:val="none"/>
        </w:rPr>
        <w:t xml:space="preserve">   9.4</w:t>
      </w:r>
      <w:r>
        <w:rPr>
          <w:rFonts w:hint="eastAsia" w:ascii="仿宋" w:hAnsi="仿宋" w:eastAsia="仿宋" w:cs="仿宋"/>
          <w:b w:val="0"/>
          <w:bCs w:val="0"/>
          <w:color w:val="auto"/>
          <w:kern w:val="2"/>
          <w:sz w:val="32"/>
          <w:szCs w:val="32"/>
          <w:highlight w:val="none"/>
        </w:rPr>
        <w:t>违约强制退出情形</w:t>
      </w:r>
    </w:p>
    <w:p w14:paraId="6B1AAA18">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9.4.1 乙方违反本协议约定，出现下列情形之一的，甲方有权单方启动强制退出程序：</w:t>
      </w:r>
    </w:p>
    <w:p w14:paraId="2A899595">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（1）未按本协议约定期限、金额履行出资义务，逾期超过 90 日；</w:t>
      </w:r>
    </w:p>
    <w:p w14:paraId="33820014">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（2）违反竞业禁止约定，在永州市范围内从事与合资公司相同或相竞争的业务；</w:t>
      </w:r>
    </w:p>
    <w:p w14:paraId="7A9ADD84">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（3）擅自质押、转让所持合资公司股权，或擅自处置合资公司核心资产；</w:t>
      </w:r>
    </w:p>
    <w:p w14:paraId="520FCB4E">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（4）因乙方原因导致合资公司无法正常运营超过 3 个月，或未按约定履行相关收益补足义务；</w:t>
      </w:r>
    </w:p>
    <w:p w14:paraId="167DAFCC">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（5）提供虚假资料骗取合作资格，或存在其他严重损害甲方及合资公司利益的行为。</w:t>
      </w:r>
    </w:p>
    <w:p w14:paraId="0680F978">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9.5股权处置</w:t>
      </w:r>
    </w:p>
    <w:p w14:paraId="13D881D0">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股权处置价格及程序须符合国有资产监督管理相关规定，以国资监管部门认可或备案的第三方评估机构出具的净资产评估值为基准，并按规定履行评估、备案、审批等程序。触发本条款约定情形时，乙方应将其持有的合资公司全部股权转让给甲方或甲方指定第三方，转让价格以经备案的评估结果为准，且不得违反国资监管关于最低转让价格的相关要求。同时乙方应承担合资公司因此遭受的全部损失，包括直接损失、间接损失、律师费、诉讼费、保全费、评估费等。</w:t>
      </w:r>
    </w:p>
    <w:p w14:paraId="4ED96980">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9.6责任承担</w:t>
      </w:r>
    </w:p>
    <w:p w14:paraId="1D4C4226">
      <w:pPr>
        <w:spacing w:line="600" w:lineRule="exact"/>
        <w:ind w:firstLine="640"/>
        <w:rPr>
          <w:rFonts w:hint="eastAsia" w:ascii="仿宋" w:hAnsi="仿宋" w:eastAsia="仿宋" w:cs="仿宋"/>
          <w:strike/>
          <w:dstrike w:val="0"/>
          <w:color w:val="auto"/>
          <w:sz w:val="32"/>
          <w:szCs w:val="32"/>
          <w:highlight w:val="none"/>
        </w:rPr>
      </w:pPr>
      <w:r>
        <w:rPr>
          <w:rFonts w:hint="eastAsia" w:ascii="仿宋" w:hAnsi="仿宋" w:eastAsia="仿宋" w:cs="仿宋"/>
          <w:color w:val="auto"/>
          <w:sz w:val="32"/>
          <w:szCs w:val="32"/>
          <w:highlight w:val="none"/>
        </w:rPr>
        <w:t>9.6.1乙方存在本协议 9.3条和9.4条情形导致甲方退出的，乙方应按未履行出资额/认缴出资额的20%向甲方支付违约金，并赔偿甲方全部损失（包括但不限于甲方为此支付的罚款、赔偿、诉讼费、律师费、保全费、评估费、鉴定费、误工费等费用）。</w:t>
      </w:r>
    </w:p>
    <w:p w14:paraId="5718435A">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9.6.</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若权处置价款不足以足额弥补甲方及合资公司因此遭受的全部损失，</w:t>
      </w:r>
      <w:r>
        <w:rPr>
          <w:rStyle w:val="11"/>
          <w:rFonts w:hint="eastAsia" w:ascii="仿宋" w:hAnsi="仿宋" w:eastAsia="仿宋" w:cs="仿宋"/>
          <w:bCs/>
          <w:color w:val="auto"/>
          <w:sz w:val="32"/>
          <w:szCs w:val="32"/>
          <w:highlight w:val="none"/>
        </w:rPr>
        <w:t>乙方仍应就差额部分继续承担赔偿责任，直至全部损失得以弥补</w:t>
      </w:r>
      <w:r>
        <w:rPr>
          <w:rFonts w:hint="eastAsia" w:ascii="仿宋" w:hAnsi="仿宋" w:eastAsia="仿宋" w:cs="仿宋"/>
          <w:color w:val="auto"/>
          <w:sz w:val="32"/>
          <w:szCs w:val="32"/>
          <w:highlight w:val="none"/>
        </w:rPr>
        <w:t>。</w:t>
      </w:r>
    </w:p>
    <w:p w14:paraId="07FFCDB3">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9.7经营业绩退出情形</w:t>
      </w:r>
    </w:p>
    <w:p w14:paraId="6D123152">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9.7.1合资公司出现下列经营情形之一的，甲方有权提出退出协商，协商不成的，甲方单方启动退出程序：</w:t>
      </w:r>
    </w:p>
    <w:p w14:paraId="3DE253CB">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9.7.2连续3个会计年度未实现甲方6%的年度资金回报率，且无切实可行的整改方案；</w:t>
      </w:r>
    </w:p>
    <w:p w14:paraId="2E5D5830">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9.8股权处置标准</w:t>
      </w:r>
    </w:p>
    <w:p w14:paraId="32AF49E7">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9.8.1由甲乙双方共同选定的第三方评估机构对合资公司净资产进行评估；</w:t>
      </w:r>
    </w:p>
    <w:p w14:paraId="33682DD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9.8.2甲方享有股权处置优先选择权，可选择由乙方按评估价回购甲方股权，或由甲方按评估价受让乙方股权；</w:t>
      </w:r>
    </w:p>
    <w:p w14:paraId="29357E12">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9.8.3若甲方受让乙方股权，乙方须配合完成合资公司的股权变更及后续运营交接。</w:t>
      </w:r>
    </w:p>
    <w:p w14:paraId="3D227D9A">
      <w:pPr>
        <w:spacing w:line="600" w:lineRule="exact"/>
        <w:ind w:firstLine="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9.9乙方单方申请退出情形</w:t>
      </w:r>
    </w:p>
    <w:p w14:paraId="156F41D8">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9.9.1乙方因自身原因提出退出的，须提前6个月向甲方提交书面退出申请，经甲方书面同意后方可启动退出程序，未经同意不得单方退出。</w:t>
      </w:r>
    </w:p>
    <w:p w14:paraId="787DA85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9.9.2股权处置价格按第三方评估机构出具的合资公司净资产评估价确定；</w:t>
      </w:r>
    </w:p>
    <w:p w14:paraId="59D7F2E3">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9.9.3甲方享有优先购买权，若甲方放弃购买，乙方可向第三方转让股权，且第三方须符合本项目招商公告协议约定的合作方资格要求；</w:t>
      </w:r>
    </w:p>
    <w:p w14:paraId="45AF1B40">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9.9.4乙方单方退出的，须向甲方支付合资公司注册资本5%的违约金，并赔偿甲方全部损失（包括但不限于甲方为此支付的罚款、赔偿、诉讼费、律师费、保全费、评估费、鉴定费、误工费等费用）。</w:t>
      </w:r>
    </w:p>
    <w:p w14:paraId="59FDADE9">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第十条 违约责任</w:t>
      </w:r>
    </w:p>
    <w:p w14:paraId="60ED1E60">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10.1出资违约：</w:t>
      </w:r>
      <w:r>
        <w:rPr>
          <w:rFonts w:hint="eastAsia" w:ascii="仿宋" w:hAnsi="仿宋" w:eastAsia="仿宋" w:cs="仿宋"/>
          <w:color w:val="auto"/>
          <w:sz w:val="32"/>
          <w:szCs w:val="32"/>
          <w:highlight w:val="none"/>
        </w:rPr>
        <w:t>任何一方未按本协议约定缴付出资的，按未缴出资额的银行同期贷款利率向守约方支付违约金；逾期超过90天的，按未缴出资额的20% 支付违约金，守约方有权按本协议约定受让违约方股权。</w:t>
      </w:r>
    </w:p>
    <w:p w14:paraId="670B955F">
      <w:pPr>
        <w:spacing w:line="600" w:lineRule="exact"/>
        <w:ind w:firstLine="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10.2抽逃出资：</w:t>
      </w:r>
      <w:r>
        <w:rPr>
          <w:rFonts w:hint="eastAsia" w:ascii="仿宋" w:hAnsi="仿宋" w:eastAsia="仿宋" w:cs="仿宋"/>
          <w:color w:val="auto"/>
          <w:sz w:val="32"/>
          <w:szCs w:val="32"/>
          <w:highlight w:val="none"/>
        </w:rPr>
        <w:t>股东抽逃出资的，应立即足额返还抽逃资金，并按抽逃金额的10%向合资公司支付违约金；</w:t>
      </w:r>
      <w:r>
        <w:rPr>
          <w:rStyle w:val="11"/>
          <w:rFonts w:hint="eastAsia" w:ascii="仿宋" w:hAnsi="仿宋" w:eastAsia="仿宋" w:cs="仿宋"/>
          <w:bCs/>
          <w:color w:val="auto"/>
          <w:sz w:val="32"/>
          <w:szCs w:val="32"/>
          <w:highlight w:val="none"/>
        </w:rPr>
        <w:t>违约金不足以弥补损失的，违约股东应继续赔偿差额部分</w:t>
      </w:r>
      <w:r>
        <w:rPr>
          <w:rFonts w:hint="eastAsia" w:ascii="仿宋" w:hAnsi="仿宋" w:eastAsia="仿宋" w:cs="仿宋"/>
          <w:color w:val="auto"/>
          <w:sz w:val="32"/>
          <w:szCs w:val="32"/>
          <w:highlight w:val="none"/>
        </w:rPr>
        <w:t>，甲方有权单方启动退出程序。</w:t>
      </w:r>
      <w:r>
        <w:rPr>
          <w:rFonts w:hint="eastAsia" w:ascii="仿宋" w:hAnsi="仿宋" w:eastAsia="仿宋" w:cs="仿宋"/>
          <w:b/>
          <w:bCs/>
          <w:color w:val="auto"/>
          <w:sz w:val="32"/>
          <w:szCs w:val="32"/>
          <w:highlight w:val="none"/>
        </w:rPr>
        <w:t xml:space="preserve">   </w:t>
      </w:r>
    </w:p>
    <w:p w14:paraId="0122C4EC">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10.3竞业禁止违约：</w:t>
      </w:r>
      <w:r>
        <w:rPr>
          <w:rFonts w:hint="eastAsia" w:ascii="仿宋" w:hAnsi="仿宋" w:eastAsia="仿宋" w:cs="仿宋"/>
          <w:color w:val="auto"/>
          <w:sz w:val="32"/>
          <w:szCs w:val="32"/>
          <w:highlight w:val="none"/>
        </w:rPr>
        <w:t>乙方违反竞业禁止约定的，应立即停止违约行为，向合资公司支付注册资本1%/次的违约金；</w:t>
      </w:r>
      <w:r>
        <w:rPr>
          <w:rStyle w:val="11"/>
          <w:rFonts w:hint="eastAsia" w:ascii="仿宋" w:hAnsi="仿宋" w:eastAsia="仿宋" w:cs="仿宋"/>
          <w:bCs/>
          <w:color w:val="auto"/>
          <w:sz w:val="32"/>
          <w:szCs w:val="32"/>
          <w:highlight w:val="none"/>
        </w:rPr>
        <w:t>违约金不足以弥补实际损失的，乙方应另行赔偿差额部分</w:t>
      </w:r>
      <w:r>
        <w:rPr>
          <w:rFonts w:hint="eastAsia" w:ascii="仿宋" w:hAnsi="仿宋" w:eastAsia="仿宋" w:cs="仿宋"/>
          <w:color w:val="auto"/>
          <w:sz w:val="32"/>
          <w:szCs w:val="32"/>
          <w:highlight w:val="none"/>
        </w:rPr>
        <w:t>，甲方有权单方启动退出程序。</w:t>
      </w:r>
    </w:p>
    <w:p w14:paraId="5F95475F">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10.4甲方监管违约：</w:t>
      </w:r>
      <w:r>
        <w:rPr>
          <w:rFonts w:hint="eastAsia" w:ascii="仿宋" w:hAnsi="仿宋" w:eastAsia="仿宋" w:cs="仿宋"/>
          <w:color w:val="auto"/>
          <w:sz w:val="32"/>
          <w:szCs w:val="32"/>
          <w:highlight w:val="none"/>
        </w:rPr>
        <w:t>甲方无故干预合资公司正常市场化运营，造成乙方损失的，须承担赔偿责任。</w:t>
      </w:r>
    </w:p>
    <w:p w14:paraId="77802FA2">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10.5通用违约：</w:t>
      </w:r>
      <w:r>
        <w:rPr>
          <w:rFonts w:hint="eastAsia" w:ascii="仿宋" w:hAnsi="仿宋" w:eastAsia="仿宋" w:cs="仿宋"/>
          <w:color w:val="auto"/>
          <w:sz w:val="32"/>
          <w:szCs w:val="32"/>
          <w:highlight w:val="none"/>
        </w:rPr>
        <w:t>任何一方违反本协议其他约定的，须立即采取补救措施，向守约方支付注册资本5% 的违约金；造成守约方或合资公司损失的，违约方须赔偿全部损失（包括律师费、诉讼费、保全费、评估费等）。</w:t>
      </w:r>
    </w:p>
    <w:p w14:paraId="529D09CB">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第十一条 不可抗力</w:t>
      </w:r>
    </w:p>
    <w:p w14:paraId="49083FB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11.1本协议所称不可抗力，是指不能预见、不能避免、不能克服的客观情况，包括但不限于自然灾害、战争、政府行为、法律法规调整等；</w:t>
      </w:r>
    </w:p>
    <w:p w14:paraId="085E197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11.2因不可抗力导致本协议无法履行或迟延履行的，遭遇不可抗力一方应立即通知对方，并在5日内提供有效证明文件，双方可根据不可抗力的影响，协商决定部分履行、延期履行或解除本协议，互不承担违约责任；</w:t>
      </w:r>
    </w:p>
    <w:p w14:paraId="01B3AF11">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11.3因不可抗力导致合资公司无法经营的，按本协议第</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rPr>
        <w:t>条的退出机制处理，双方按认缴出资比例分担损失。甲方不承担额外损失。</w:t>
      </w:r>
    </w:p>
    <w:p w14:paraId="3436100A">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第十二条 保密条款</w:t>
      </w:r>
    </w:p>
    <w:p w14:paraId="5AC98A25">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12.1甲乙双方对在本协议签订、履行过程中获悉的对方及合资公司的商业秘密、财务信息、运营方案、技术资料等未公开信息予以保密；</w:t>
      </w:r>
    </w:p>
    <w:p w14:paraId="0F13D37E">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12.2未经信息提供方书面同意，任何一方不得向任何第三方泄露上述保密信息，保密期限为永久，直至信息成为公开信息；</w:t>
      </w:r>
    </w:p>
    <w:p w14:paraId="649C812E">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12.3一方违反保密条款的，应向守约方支付相当于注册资本 10% 的违约金；</w:t>
      </w:r>
      <w:r>
        <w:rPr>
          <w:rStyle w:val="11"/>
          <w:rFonts w:hint="eastAsia" w:ascii="仿宋" w:hAnsi="仿宋" w:eastAsia="仿宋" w:cs="仿宋"/>
          <w:bCs/>
          <w:color w:val="auto"/>
          <w:sz w:val="32"/>
          <w:szCs w:val="32"/>
          <w:highlight w:val="none"/>
        </w:rPr>
        <w:t>违约金不足以弥补守约方实际损失的，违约方应就差额部分另行赔偿</w:t>
      </w:r>
      <w:r>
        <w:rPr>
          <w:rFonts w:hint="eastAsia" w:ascii="仿宋" w:hAnsi="仿宋" w:eastAsia="仿宋" w:cs="仿宋"/>
          <w:color w:val="auto"/>
          <w:sz w:val="32"/>
          <w:szCs w:val="32"/>
          <w:highlight w:val="none"/>
        </w:rPr>
        <w:t>。</w:t>
      </w:r>
    </w:p>
    <w:p w14:paraId="5A645EDE">
      <w:pPr>
        <w:spacing w:line="600" w:lineRule="exact"/>
        <w:ind w:firstLine="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第十三条 争议解决</w:t>
      </w:r>
    </w:p>
    <w:p w14:paraId="4BFC6E3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13.1本协议的签订、履行、解释及争议解决，均适用中华人民共和国法律；</w:t>
      </w:r>
    </w:p>
    <w:p w14:paraId="49941450">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13.2甲乙双方因本协议产生的任何争议，应首先通过友好协商解决；协商不成的，任何一方均有权向合资公司所在地有管辖权的人民法院提起诉讼；</w:t>
      </w:r>
    </w:p>
    <w:p w14:paraId="5BA01DD5">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13.3争议解决期间，除争议事项外，本协议其他条款继续有效。</w:t>
      </w:r>
    </w:p>
    <w:p w14:paraId="7E33E1B2">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第十四条 协议的变更、解除与终止</w:t>
      </w:r>
    </w:p>
    <w:p w14:paraId="3E5A839E">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14.1本协议的变更、补充，须经甲乙双方书面协商一致，并签订补充协议，补充协议与本协议具有同等法律效力；</w:t>
      </w:r>
    </w:p>
    <w:p w14:paraId="32792880">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14.2出现本协议第</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rPr>
        <w:t>条约定的退出情形、第</w:t>
      </w:r>
      <w:r>
        <w:rPr>
          <w:rFonts w:hint="eastAsia" w:ascii="仿宋" w:hAnsi="仿宋" w:eastAsia="仿宋" w:cs="仿宋"/>
          <w:color w:val="auto"/>
          <w:sz w:val="32"/>
          <w:szCs w:val="32"/>
          <w:highlight w:val="none"/>
          <w:lang w:val="en-US" w:eastAsia="zh-CN"/>
        </w:rPr>
        <w:t>十</w:t>
      </w:r>
      <w:r>
        <w:rPr>
          <w:rFonts w:hint="eastAsia" w:ascii="仿宋" w:hAnsi="仿宋" w:eastAsia="仿宋" w:cs="仿宋"/>
          <w:color w:val="auto"/>
          <w:sz w:val="32"/>
          <w:szCs w:val="32"/>
          <w:highlight w:val="none"/>
        </w:rPr>
        <w:t>条约定的重大违约情形，或不可抗力导致本协议无法履行的，一方有权解除本协议；</w:t>
      </w:r>
    </w:p>
    <w:p w14:paraId="13C65721">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14.3合资公司解散、清算的，本协议自动终止；</w:t>
      </w:r>
    </w:p>
    <w:p w14:paraId="512B9FE4">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14.4本协议终止后，不影响双方在保密、违约责任、争议解决等条款下的权利义务。</w:t>
      </w:r>
    </w:p>
    <w:p w14:paraId="7F97E4C1">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第十五条 其他约定</w:t>
      </w:r>
    </w:p>
    <w:p w14:paraId="72892759">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15.1本协议系甲乙双方合作的核心法律文件，均为双方真实意思表示。若本协议与公司章程内容不一致，</w:t>
      </w:r>
      <w:r>
        <w:rPr>
          <w:rStyle w:val="11"/>
          <w:rFonts w:hint="eastAsia" w:ascii="仿宋" w:hAnsi="仿宋" w:eastAsia="仿宋" w:cs="仿宋"/>
          <w:bCs/>
          <w:color w:val="auto"/>
          <w:sz w:val="32"/>
          <w:szCs w:val="32"/>
          <w:highlight w:val="none"/>
        </w:rPr>
        <w:t>以符合国有资产监督管理规定并经登记机关核准的公司章程为准</w:t>
      </w:r>
      <w:r>
        <w:rPr>
          <w:rFonts w:hint="eastAsia" w:ascii="仿宋" w:hAnsi="仿宋" w:eastAsia="仿宋" w:cs="仿宋"/>
          <w:color w:val="auto"/>
          <w:sz w:val="32"/>
          <w:szCs w:val="32"/>
          <w:highlight w:val="none"/>
        </w:rPr>
        <w:t>。</w:t>
      </w:r>
    </w:p>
    <w:p w14:paraId="67783671">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15.2合资公司成立前已有知识产权归各股东所有，如需使用，乙方无偿提供相关知识产权。合资公司成立后产生新的知识产权归属合资公司。</w:t>
      </w:r>
    </w:p>
    <w:p w14:paraId="67068BC1">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15.3本协议附件为本协议不可分割的组成部分，与本协议具有同等法律效力；</w:t>
      </w:r>
    </w:p>
    <w:p w14:paraId="672FB71C">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15.4本协议自双方法定代表人签字、加盖公章，且经甲方上级国资监管部门批准之日起生效，未经批准不生效、不履行；</w:t>
      </w:r>
    </w:p>
    <w:p w14:paraId="2C7D4D9F">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15.5本协议一式玖份，甲方持贰份，乙方持肆份，合资公司留存贰份，报工商行政管理机关壹份，各份具有同等法律效力。</w:t>
      </w:r>
    </w:p>
    <w:p w14:paraId="756A8C31">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（以下无正文，为签字盖章页）</w:t>
      </w:r>
    </w:p>
    <w:p w14:paraId="6BC0D468">
      <w:pPr>
        <w:spacing w:line="600" w:lineRule="exact"/>
        <w:rPr>
          <w:rFonts w:hint="eastAsia" w:ascii="仿宋" w:hAnsi="仿宋" w:eastAsia="仿宋" w:cs="仿宋"/>
          <w:color w:val="auto"/>
          <w:sz w:val="32"/>
          <w:szCs w:val="32"/>
          <w:highlight w:val="none"/>
        </w:rPr>
      </w:pPr>
    </w:p>
    <w:p w14:paraId="4CA42107">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甲方（盖章）：永州市城创置业有限公司</w:t>
      </w:r>
    </w:p>
    <w:p w14:paraId="122963EE">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法定代表人/授权委托人（签字）：</w:t>
      </w:r>
    </w:p>
    <w:p w14:paraId="0EA53AA2">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签订日期：2026年  月  日</w:t>
      </w:r>
    </w:p>
    <w:p w14:paraId="758A3FFE">
      <w:pPr>
        <w:spacing w:line="600" w:lineRule="exact"/>
        <w:rPr>
          <w:rFonts w:hint="eastAsia" w:ascii="仿宋" w:hAnsi="仿宋" w:eastAsia="仿宋" w:cs="仿宋"/>
          <w:color w:val="auto"/>
          <w:sz w:val="32"/>
          <w:szCs w:val="32"/>
          <w:highlight w:val="none"/>
        </w:rPr>
      </w:pPr>
    </w:p>
    <w:p w14:paraId="65BF2D32">
      <w:pPr>
        <w:spacing w:line="600" w:lineRule="exact"/>
        <w:rPr>
          <w:rFonts w:hint="eastAsia" w:ascii="仿宋" w:hAnsi="仿宋" w:eastAsia="仿宋" w:cs="仿宋"/>
          <w:color w:val="auto"/>
          <w:sz w:val="32"/>
          <w:szCs w:val="32"/>
          <w:highlight w:val="none"/>
        </w:rPr>
      </w:pPr>
    </w:p>
    <w:p w14:paraId="2404D0FA">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乙方（盖章）：有限公司</w:t>
      </w:r>
    </w:p>
    <w:p w14:paraId="2746FD40">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法定代表人/授权委托人（签字）：</w:t>
      </w:r>
    </w:p>
    <w:p w14:paraId="1045FA7C">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签订日期：2026年  月  日</w:t>
      </w:r>
    </w:p>
    <w:p w14:paraId="7CFD6F60">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联合体成员方（盖章）：有限公司</w:t>
      </w:r>
    </w:p>
    <w:p w14:paraId="3450C92B">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法定代表人/授权委托人（签字）：</w:t>
      </w:r>
    </w:p>
    <w:p w14:paraId="66F7DA99">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签订日期：2026年  月  日</w:t>
      </w:r>
    </w:p>
    <w:p w14:paraId="262AA740">
      <w:pPr>
        <w:spacing w:line="600" w:lineRule="exact"/>
        <w:rPr>
          <w:rFonts w:hint="eastAsia" w:ascii="方正仿宋_GB2312" w:hAnsi="方正仿宋_GB2312" w:eastAsia="方正仿宋_GB2312" w:cs="方正仿宋_GB2312"/>
          <w:color w:val="auto"/>
          <w:sz w:val="32"/>
          <w:szCs w:val="32"/>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3EA30C-2A6A-4EEA-8380-A564A05BC9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ingFang SC">
    <w:altName w:val="宋体"/>
    <w:panose1 w:val="00000000000000000000"/>
    <w:charset w:val="86"/>
    <w:family w:val="auto"/>
    <w:pitch w:val="default"/>
    <w:sig w:usb0="00000000" w:usb1="00000000" w:usb2="00000017"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3DAD7E06-D3F0-4A47-BFA3-93357F774563}"/>
  </w:font>
  <w:font w:name="仿宋">
    <w:panose1 w:val="02010609060101010101"/>
    <w:charset w:val="86"/>
    <w:family w:val="modern"/>
    <w:pitch w:val="default"/>
    <w:sig w:usb0="800002BF" w:usb1="38CF7CFA" w:usb2="00000016" w:usb3="00000000" w:csb0="00040001" w:csb1="00000000"/>
    <w:embedRegular r:id="rId3" w:fontKey="{34325B13-CD26-4453-AD4E-902FF866B536}"/>
  </w:font>
  <w:font w:name="方正仿宋_GB2312">
    <w:panose1 w:val="02000000000000000000"/>
    <w:charset w:val="86"/>
    <w:family w:val="auto"/>
    <w:pitch w:val="default"/>
    <w:sig w:usb0="A00002BF" w:usb1="184F6CFA" w:usb2="00000012" w:usb3="00000000" w:csb0="00040001" w:csb1="00000000"/>
    <w:embedRegular r:id="rId4" w:fontKey="{4312D621-3355-4E88-8935-C93DEF0E04AA}"/>
  </w:font>
  <w:font w:name="WPSEMBED7">
    <w:panose1 w:val="02000500000000000000"/>
    <w:charset w:val="86"/>
    <w:family w:val="auto"/>
    <w:pitch w:val="default"/>
    <w:sig w:usb0="A00002BF" w:usb1="38CF7CFA" w:usb2="00000016" w:usb3="00000000" w:csb0="00040001" w:csb1="00000000"/>
  </w:font>
  <w:font w:name="WPSEMBED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C98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A1C13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1A1C13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YjI5YjFiZGEwNTVjYjVjN2I1YTc0Y2IwY2JhODkifQ=="/>
  </w:docVars>
  <w:rsids>
    <w:rsidRoot w:val="9FA725E8"/>
    <w:rsid w:val="002B41CE"/>
    <w:rsid w:val="005679E8"/>
    <w:rsid w:val="006811A8"/>
    <w:rsid w:val="008110AF"/>
    <w:rsid w:val="00E46AD2"/>
    <w:rsid w:val="00F238BC"/>
    <w:rsid w:val="01464711"/>
    <w:rsid w:val="01C9268F"/>
    <w:rsid w:val="01D217FA"/>
    <w:rsid w:val="03B66504"/>
    <w:rsid w:val="05162F97"/>
    <w:rsid w:val="05164BE7"/>
    <w:rsid w:val="06581EA6"/>
    <w:rsid w:val="069331B4"/>
    <w:rsid w:val="07063091"/>
    <w:rsid w:val="079F2090"/>
    <w:rsid w:val="08C3028D"/>
    <w:rsid w:val="09861716"/>
    <w:rsid w:val="0BF64289"/>
    <w:rsid w:val="0CB50608"/>
    <w:rsid w:val="0DD6566E"/>
    <w:rsid w:val="0DF56A8C"/>
    <w:rsid w:val="0E5232CD"/>
    <w:rsid w:val="101741BD"/>
    <w:rsid w:val="10572E1C"/>
    <w:rsid w:val="108756E0"/>
    <w:rsid w:val="10A65B52"/>
    <w:rsid w:val="10C743AB"/>
    <w:rsid w:val="11347AFD"/>
    <w:rsid w:val="11FC4D67"/>
    <w:rsid w:val="12B1333A"/>
    <w:rsid w:val="13F93D5B"/>
    <w:rsid w:val="140B289C"/>
    <w:rsid w:val="14C36CD2"/>
    <w:rsid w:val="156B41AD"/>
    <w:rsid w:val="15915022"/>
    <w:rsid w:val="162D5C37"/>
    <w:rsid w:val="16D50DEA"/>
    <w:rsid w:val="18EE7625"/>
    <w:rsid w:val="1A7A7E33"/>
    <w:rsid w:val="1B8322A5"/>
    <w:rsid w:val="1CD35F20"/>
    <w:rsid w:val="1D31001B"/>
    <w:rsid w:val="1DED2E9B"/>
    <w:rsid w:val="1FECDAF7"/>
    <w:rsid w:val="20C3486E"/>
    <w:rsid w:val="21134B3E"/>
    <w:rsid w:val="22C86F16"/>
    <w:rsid w:val="22DA2031"/>
    <w:rsid w:val="231B23CF"/>
    <w:rsid w:val="26A06E73"/>
    <w:rsid w:val="29A9603F"/>
    <w:rsid w:val="29E277A3"/>
    <w:rsid w:val="2A6401B8"/>
    <w:rsid w:val="2A9C62C3"/>
    <w:rsid w:val="2BED60D2"/>
    <w:rsid w:val="2C946D09"/>
    <w:rsid w:val="2CB829C8"/>
    <w:rsid w:val="2CC80ED2"/>
    <w:rsid w:val="2F2D6141"/>
    <w:rsid w:val="31321BF6"/>
    <w:rsid w:val="31A65375"/>
    <w:rsid w:val="31A87460"/>
    <w:rsid w:val="35C82F80"/>
    <w:rsid w:val="36C06266"/>
    <w:rsid w:val="36FD5C1C"/>
    <w:rsid w:val="3716F908"/>
    <w:rsid w:val="37476E97"/>
    <w:rsid w:val="374B2E2B"/>
    <w:rsid w:val="37BA252D"/>
    <w:rsid w:val="380B7758"/>
    <w:rsid w:val="39445D84"/>
    <w:rsid w:val="39736669"/>
    <w:rsid w:val="3986639D"/>
    <w:rsid w:val="39AE76A2"/>
    <w:rsid w:val="3A3951BD"/>
    <w:rsid w:val="3A886145"/>
    <w:rsid w:val="3ABE384A"/>
    <w:rsid w:val="3AD60C5E"/>
    <w:rsid w:val="3B0A4DAB"/>
    <w:rsid w:val="3B364634"/>
    <w:rsid w:val="3B78769B"/>
    <w:rsid w:val="3BDD8AC5"/>
    <w:rsid w:val="3DB039E8"/>
    <w:rsid w:val="3DB22CA8"/>
    <w:rsid w:val="3DF53AF1"/>
    <w:rsid w:val="3DFB14C3"/>
    <w:rsid w:val="3EBCF6AD"/>
    <w:rsid w:val="3EBFDCAB"/>
    <w:rsid w:val="3FED6871"/>
    <w:rsid w:val="407C4295"/>
    <w:rsid w:val="41432DC5"/>
    <w:rsid w:val="43087E22"/>
    <w:rsid w:val="4348021F"/>
    <w:rsid w:val="44BFB681"/>
    <w:rsid w:val="45D65FB6"/>
    <w:rsid w:val="45EB44D6"/>
    <w:rsid w:val="46A41C10"/>
    <w:rsid w:val="46DF70EC"/>
    <w:rsid w:val="48A44149"/>
    <w:rsid w:val="48B86B7A"/>
    <w:rsid w:val="49813AC9"/>
    <w:rsid w:val="4A34236D"/>
    <w:rsid w:val="4B33752B"/>
    <w:rsid w:val="4BAD5A0B"/>
    <w:rsid w:val="4CE51ED5"/>
    <w:rsid w:val="4D9329DF"/>
    <w:rsid w:val="4DAC7443"/>
    <w:rsid w:val="4DDC25D7"/>
    <w:rsid w:val="4DED5753"/>
    <w:rsid w:val="4ECC7F56"/>
    <w:rsid w:val="4F9F1B0F"/>
    <w:rsid w:val="4FA709C3"/>
    <w:rsid w:val="500960CD"/>
    <w:rsid w:val="506E17CA"/>
    <w:rsid w:val="520B5239"/>
    <w:rsid w:val="537FB0BB"/>
    <w:rsid w:val="53F1045F"/>
    <w:rsid w:val="559D264C"/>
    <w:rsid w:val="57994DDF"/>
    <w:rsid w:val="57BD6030"/>
    <w:rsid w:val="57FCC40F"/>
    <w:rsid w:val="59A70EA0"/>
    <w:rsid w:val="5A4B40E8"/>
    <w:rsid w:val="5B785A78"/>
    <w:rsid w:val="5BCE5E90"/>
    <w:rsid w:val="5BDD3B83"/>
    <w:rsid w:val="5CF11A42"/>
    <w:rsid w:val="5D040209"/>
    <w:rsid w:val="5D6FE2F3"/>
    <w:rsid w:val="5ED6073D"/>
    <w:rsid w:val="5F6D49C0"/>
    <w:rsid w:val="5FAA39EF"/>
    <w:rsid w:val="5FBD0D46"/>
    <w:rsid w:val="5FF7295C"/>
    <w:rsid w:val="60591866"/>
    <w:rsid w:val="61273712"/>
    <w:rsid w:val="62F0676B"/>
    <w:rsid w:val="657333CA"/>
    <w:rsid w:val="6640227D"/>
    <w:rsid w:val="664D59C9"/>
    <w:rsid w:val="673062C8"/>
    <w:rsid w:val="67372333"/>
    <w:rsid w:val="68676C95"/>
    <w:rsid w:val="6A721EA2"/>
    <w:rsid w:val="6A81500A"/>
    <w:rsid w:val="6B0D21CA"/>
    <w:rsid w:val="6B92518A"/>
    <w:rsid w:val="6BAE0CB8"/>
    <w:rsid w:val="6BBDBC12"/>
    <w:rsid w:val="6BFF10DE"/>
    <w:rsid w:val="6C3D3BAD"/>
    <w:rsid w:val="6C517895"/>
    <w:rsid w:val="6C885A25"/>
    <w:rsid w:val="6C9846B8"/>
    <w:rsid w:val="6CFA617E"/>
    <w:rsid w:val="6D192AA9"/>
    <w:rsid w:val="6F77CDFB"/>
    <w:rsid w:val="6FD902CD"/>
    <w:rsid w:val="71065EFE"/>
    <w:rsid w:val="72330169"/>
    <w:rsid w:val="73EDB1ED"/>
    <w:rsid w:val="741C4C2C"/>
    <w:rsid w:val="76851E0C"/>
    <w:rsid w:val="76BAB951"/>
    <w:rsid w:val="76BB072D"/>
    <w:rsid w:val="76E66906"/>
    <w:rsid w:val="76FC859B"/>
    <w:rsid w:val="776E7F25"/>
    <w:rsid w:val="777D1E86"/>
    <w:rsid w:val="77D9CF41"/>
    <w:rsid w:val="77FFCC83"/>
    <w:rsid w:val="7818460F"/>
    <w:rsid w:val="784C7BFA"/>
    <w:rsid w:val="78F32037"/>
    <w:rsid w:val="794013BD"/>
    <w:rsid w:val="799A44A4"/>
    <w:rsid w:val="7B2F1DA8"/>
    <w:rsid w:val="7B2F566B"/>
    <w:rsid w:val="7C1E3EF7"/>
    <w:rsid w:val="7C372603"/>
    <w:rsid w:val="7D773838"/>
    <w:rsid w:val="7D990594"/>
    <w:rsid w:val="7E153D08"/>
    <w:rsid w:val="7E2748F9"/>
    <w:rsid w:val="7E6E31FA"/>
    <w:rsid w:val="7F2FF8D4"/>
    <w:rsid w:val="7F7D2A23"/>
    <w:rsid w:val="7FFF1C79"/>
    <w:rsid w:val="99EFB5A4"/>
    <w:rsid w:val="9E6EAAE0"/>
    <w:rsid w:val="9FA725E8"/>
    <w:rsid w:val="9FAB0D7B"/>
    <w:rsid w:val="B9F7E7A6"/>
    <w:rsid w:val="BE9F3E1C"/>
    <w:rsid w:val="BF799F47"/>
    <w:rsid w:val="BFBEA16D"/>
    <w:rsid w:val="CDFF0392"/>
    <w:rsid w:val="CF5DE83D"/>
    <w:rsid w:val="D75DFCE7"/>
    <w:rsid w:val="D9AB286D"/>
    <w:rsid w:val="E0E7B0E0"/>
    <w:rsid w:val="E5CF25AF"/>
    <w:rsid w:val="E5FF57EE"/>
    <w:rsid w:val="EDBE3038"/>
    <w:rsid w:val="EDEF0E63"/>
    <w:rsid w:val="EE171B9D"/>
    <w:rsid w:val="EEB6ADE0"/>
    <w:rsid w:val="EF29085E"/>
    <w:rsid w:val="F27E6BB7"/>
    <w:rsid w:val="F43AC6D3"/>
    <w:rsid w:val="F7BF8877"/>
    <w:rsid w:val="FBD747A8"/>
    <w:rsid w:val="FE3F6693"/>
    <w:rsid w:val="FE7D60D3"/>
    <w:rsid w:val="FF220134"/>
    <w:rsid w:val="FF3CF606"/>
    <w:rsid w:val="FFCE675A"/>
    <w:rsid w:val="FFF7C04E"/>
    <w:rsid w:val="FFFB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rPr>
      <w:sz w:val="24"/>
    </w:rPr>
  </w:style>
  <w:style w:type="paragraph" w:styleId="7">
    <w:name w:val="annotation subject"/>
    <w:basedOn w:val="3"/>
    <w:next w:val="3"/>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p1"/>
    <w:basedOn w:val="1"/>
    <w:qFormat/>
    <w:uiPriority w:val="0"/>
    <w:pPr>
      <w:jc w:val="left"/>
    </w:pPr>
    <w:rPr>
      <w:rFonts w:ascii="PingFang SC" w:hAnsi="PingFang SC" w:eastAsia="PingFang SC"/>
      <w:color w:val="000000"/>
      <w:kern w:val="0"/>
      <w:sz w:val="30"/>
      <w:szCs w:val="30"/>
    </w:rPr>
  </w:style>
  <w:style w:type="character" w:customStyle="1" w:styleId="14">
    <w:name w:val="批注文字 字符"/>
    <w:basedOn w:val="10"/>
    <w:link w:val="3"/>
    <w:qFormat/>
    <w:uiPriority w:val="0"/>
    <w:rPr>
      <w:rFonts w:ascii="Calibri" w:hAnsi="Calibri"/>
      <w:kern w:val="2"/>
      <w:sz w:val="21"/>
      <w:szCs w:val="24"/>
    </w:rPr>
  </w:style>
  <w:style w:type="character" w:customStyle="1" w:styleId="15">
    <w:name w:val="批注主题 字符"/>
    <w:basedOn w:val="14"/>
    <w:link w:val="7"/>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7703</Words>
  <Characters>8316</Characters>
  <Lines>64</Lines>
  <Paragraphs>18</Paragraphs>
  <TotalTime>10</TotalTime>
  <ScaleCrop>false</ScaleCrop>
  <LinksUpToDate>false</LinksUpToDate>
  <CharactersWithSpaces>8854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2026-03-22T19:54:00Z</dcterms:created>
  <dc:creator>冯桂志</dc:creator>
  <cp:lastModifiedBy>永州城发甄</cp:lastModifiedBy>
  <cp:lastPrinted>2026-04-10T02:47:00Z</cp:lastPrinted>
  <dcterms:modified xsi:type="dcterms:W3CDTF">2026-04-13T03:13:04Z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D966BC582DED4270881BF63FDEB60AF4_13</vt:lpwstr>
  </property>
  <property fmtid="{D5CDD505-2E9C-101B-9397-08002B2CF9AE}" pid="4" name="KSOTemplateDocerSaveRecord">
    <vt:lpwstr>eyJoZGlkIjoiYWVjYjFlOTJlMDk5YjlmNTY4YWEwMTJiNzgzMmNkNDYiLCJ1c2VySWQiOiIyMDA3NTU5MDkifQ==</vt:lpwstr>
  </property>
</Properties>
</file>